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ATAS/166/2021 vom 18. Februar 2021</w:t>
      </w:r>
    </w:p>
    <w:p>
      <w:r>
        <w:t>GE Cour de justice, 2021-02-18, FR</w:t>
      </w:r>
    </w:p>
    <w:p>
      <w:r>
        <w:rPr>
          <w:b/>
        </w:rPr>
        <w:t xml:space="preserve">Quelle: </w:t>
      </w:r>
      <w:r>
        <w:t>https://mcp.opencaselaw.ch/entscheid/ge_gerichte_ATAS_166_2021</w:t>
      </w:r>
    </w:p>
    <w:p>
      <w:r>
        <w:t>FR: GE_GERICHTE ATAS/166/2021 du 18 février 2021</w:t>
      </w:r>
    </w:p>
    <w:p>
      <w:r>
        <w:t>IT: GE_GERICHTE ATAS/166/2021 del 18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pendant devant la Chambre de céans le 1er janvier 2021, il reste soumis à l'ancien droit (cf. art. 83 LPGA).</w:t>
      </w:r>
    </w:p>
    <w:p>
      <w:r>
        <w:rPr>
          <w:b/>
        </w:rPr>
        <w:t>E. 4</w:t>
      </w:r>
    </w:p>
    <w:p>
      <w:r>
        <w:t>Selon l’art. 89B al. 1 de la loi sur la procédure administrative du 12 septembre 1985 (LPA - E 5 10), le recours, signé et déposé en deux exemplaires par-devant la Chambre des assurances sociales de la Cour de justice, doit comporter des motifs et des conclusions. Si le mémoire n'est pas conforme à ces règles, un délai convenable est imparti à son auteur pour le compléter, étant précisé qu'en cas d'inobservation, le recours sera écarté (art. 89B al. 3 LPA).</w:t>
      </w:r>
    </w:p>
    <w:p>
      <w:r>
        <w:rPr>
          <w:b/>
        </w:rPr>
        <w:t>E. 5</w:t>
      </w:r>
    </w:p>
    <w:p>
      <w:r>
        <w:t>En l'occurrence, force est de constater que l’assuré n’a pas régularisé son écriture dans le délai qui lui avait été accordé pour ce faire. Dès lors, le recours doit être déclaré irrecevable faute de signature.</w:t>
      </w:r>
    </w:p>
    <w:p>
      <w:r>
        <w:t>A/303/2021 - 3/3 -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