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ATAS/1669/2009 vom 22. Dezember 2009</w:t>
      </w:r>
    </w:p>
    <w:p>
      <w:r>
        <w:t>GE Cour de justice, 2009-12-22, FR</w:t>
      </w:r>
    </w:p>
    <w:p>
      <w:r>
        <w:rPr>
          <w:b/>
        </w:rPr>
        <w:t xml:space="preserve">Quelle: </w:t>
      </w:r>
      <w:r>
        <w:t>https://mcp.opencaselaw.ch/entscheid/ge_gerichte_ATAS_1669_2009</w:t>
      </w:r>
    </w:p>
    <w:p>
      <w:r>
        <w:t>FR: GE_GERICHTE ATAS/1669/2009 du 22 décembre 2009</w:t>
      </w:r>
    </w:p>
    <w:p>
      <w:r>
        <w:t>IT: GE_GERICHTE ATAS/1669/2009 del 22 dicembre 2009</w:t>
      </w:r>
    </w:p>
    <w:p>
      <w:pPr>
        <w:pStyle w:val="Heading2"/>
      </w:pPr>
      <w:r>
        <w:t>Erwägungen</w:t>
      </w:r>
    </w:p>
    <w:p>
      <w:r>
        <w:rPr>
          <w:b/>
        </w:rPr>
        <w:t>E. 1</w:t>
      </w:r>
    </w:p>
    <w:p>
      <w:r>
        <w:t>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Interjeté dans les délai et formes prescrits par la loi, le recours est recevable (art. 56 ss et LPGA).</w:t>
      </w:r>
    </w:p>
    <w:p>
      <w:r>
        <w:t>A/345/2009 - 7/16 -</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8 janvier 2009 à la lumière des anciennes dispositions de la LAI pour la période s'étendant jusqu'au 31 décembre 2007 et, le cas échéant, au regard des nouvelles dispositions de la LAI pour la période postérieure (ATF 130 V 332 consid. 2.2 et 2.3).</w:t>
      </w:r>
    </w:p>
    <w:p>
      <w:r>
        <w:rPr>
          <w:b/>
        </w:rPr>
        <w:t>E. 5</w:t>
      </w:r>
    </w:p>
    <w:p>
      <w:r>
        <w:t>En l'occurrence, il s'agit de déterminer le degré d'invalidité de la recourante.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w:t>
      </w:r>
    </w:p>
    <w:p>
      <w:r>
        <w:t>A/345/2009 - 8/16 -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w:t>
      </w:r>
    </w:p>
    <w:p>
      <w:r>
        <w:t>A/345/2009 - 9/16 -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Dans ce contexte, on rappellera encore que la reconnaissance du caractère invalidant de troubles somatoformes douloureux chez de jeunes assurés doit rester exceptionnelle en l’absence de comorbidité psychiatrique (ATFA non publié du 31 janvier 2006, I 488/04 et les références). b) 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w:t>
      </w:r>
    </w:p>
    <w:p>
      <w:r>
        <w:t>A/345/2009 - 10/16 -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A/345/2009 - 11/16 -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t>A/345/2009 - 12/16 -</w:t>
      </w:r>
    </w:p>
    <w:p>
      <w:r>
        <w:rPr>
          <w:b/>
        </w:rPr>
        <w:t>E. 6</w:t>
      </w:r>
    </w:p>
    <w:p>
      <w:r>
        <w:t>En l'occurrence, se trouvent au dossier des rapports des médecins traitants, notamment des Drs M__________ et E_________, une expertise rhumatologique de janvier 2006 du Dr N__________, effectuée dans le cadre de l'assurance perte de gain et une expertise pluridisciplinaire du COMAI de septembre 2007. Singulièrement tous les médecins qui ont examiné l'a recourante concluent à une incapacité totale de travail, à l'exception des experts du COMAI. A cet égard, il convient de relever que le Dr N__________ estime également, en tant qu'expert, l'incapacité de la recourante totale. Par ailleurs, le Dr E_________, nouveau psychiatre traitant diagnostique notamment un épisode dépressif sévère sans symptômes psychotiques et un syndrome douloureux somatoforme persistant. Or, le syndrome douloureux somatoforme constitue un nouveau diagnostic qui n'a pas été investigué par les experts du COMAI. La recourante et le Dr M__________ allèguent en outre une aggravation de l'état de santé par rapport à la date de l'expertise du COMAI. Enfin, l'unanimité des médecins s'agissant de l'incapacité de travail de la recourante, et notamment l'avis du Dr N__________ intervenant également comme expert, est propre à mettre en doute les conclusions des experts du COMAI. Par conséquent, le Tribunal de céans estime qu'il est nécessaire de mettre en œuvre une nouvelle expertise bidisciplinaire. Au vu de ce qui précède, il se justifie de procéder à une instruction complémentaire sous la forme d'une expertise psychiatrique et rhumatologique. A cette occasion, outre les aspects psychiques en tant que tels, le caractère invalidant des éventuels troubles somatoformes douloureux devra être examiné à la lumière des critères développés par la jurisprudence.</w:t>
      </w:r>
    </w:p>
    <w:p>
      <w:r>
        <w:rPr>
          <w:b/>
        </w:rPr>
        <w:t>E. 7</w:t>
      </w:r>
    </w:p>
    <w:p>
      <w:r>
        <w:t>Cette expertise bidisciplinaire, rhumatologique et psychiatrique, sera confiée au Dr P__________, psychiatre, et au Dr D__________, rhumatologue. A cet égard, il convient de relever que le Dr P__________ officiera à titre de médecin indépendant et que les griefs soulevés par la recourante à son encontre apparaissent dénués de fondement; ils ne reposent en effet sur aucun élément objectif. Par ailleurs, il sied de relever que le choix du même expert psychiatre est intéressant afin d'évaluer l'évolution de l'état psychique.</w:t>
      </w:r>
    </w:p>
    <w:p>
      <w:r>
        <w:t>A/345/2009 - 13/16 -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