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ATAS/165/2025 vom 17. März 2025</w:t>
      </w:r>
    </w:p>
    <w:p>
      <w:r>
        <w:t>GE Cour de justice, 2025-03-17, FR</w:t>
      </w:r>
    </w:p>
    <w:p>
      <w:r>
        <w:rPr>
          <w:b/>
        </w:rPr>
        <w:t xml:space="preserve">Quelle: </w:t>
      </w:r>
      <w:r>
        <w:t>https://mcp.opencaselaw.ch/entscheid/ge_gerichte_ATAS_165_2025</w:t>
      </w:r>
    </w:p>
    <w:p>
      <w:r>
        <w:t>FR: GE_GERICHTE ATAS/165/2025 du 17 mars 2025</w:t>
      </w:r>
    </w:p>
    <w:p>
      <w:r>
        <w:t>IT: GE_GERICHTE ATAS/165/2025 del 17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prévue par la loi (art. 61 let. b LPGA et 89B de la loi sur la procédure administrative du 12 septembre 1985 - LPA - E 5 10) et en temps utile (art. 60 al. 1 LPGA), compte tenu de la suspension des délais pour la période du 18 décembre au 2 janvier inclusivement (art. 38 al. 4 let. c LPGA et art. 89C let. c LPA), le recours est recevable.</w:t>
      </w:r>
    </w:p>
    <w:p>
      <w:r>
        <w:rPr>
          <w:b/>
        </w:rPr>
        <w:t>E. 2</w:t>
      </w:r>
    </w:p>
    <w:p>
      <w:r>
        <w:t>Le litige porte sur la conformité au droit du refus d'octroi des prestations de l'AI à la recourante.</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un éventuel droit à une rente d’invalidité naîtrait au plus tôt en juillet 2023, soit six mois après le dépôt de la demande du 11 janvier 2023 (art. 29 al. 1 LAI), de sorte que les dispositions légales applicables seront citées dans leur nouvelle teneur.</w:t>
      </w:r>
    </w:p>
    <w:p>
      <w:r>
        <w:rPr>
          <w:b/>
        </w:rPr>
        <w:t>E. 4</w:t>
      </w:r>
    </w:p>
    <w:p>
      <w:r>
        <w:t>La recourante affirme être invalide et demande une rente AI entière.</w:t>
      </w:r>
    </w:p>
    <w:p>
      <w:r>
        <w:rPr>
          <w:b/>
        </w:rPr>
        <w:t>E. 4.1</w:t>
      </w:r>
    </w:p>
    <w:p>
      <w:r>
        <w:t>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 art. 28 al. 1 LAI). Une rente au</w:t>
      </w:r>
    </w:p>
    <w:p>
      <w:r>
        <w:t>A/119/2024 - 8/21 - sens de l’art. 28a al. 1 LAI n’est pas octroyée tant que toutes les possibilités de réadaptation au sens de l’art. 8 al. 1bis et 1ter LAI n’ont pas été épuisées (art. 28 al. 1bis LAI).</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En vertu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fixée selon le tableau de l'art. 28b al. 4 LAI (al. 4).</w:t>
      </w:r>
    </w:p>
    <w:p>
      <w:r>
        <w:rPr>
          <w:b/>
        </w:rPr>
        <w:t>E. 4.4</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(art. 28a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w:t>
      </w:r>
    </w:p>
    <w:p>
      <w:r>
        <w:t>A/119/2024 - 9/21 -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5.2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5.3</w:t>
      </w:r>
    </w:p>
    <w:p>
      <w:r>
        <w:t>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w:t>
      </w:r>
    </w:p>
    <w:p>
      <w:r>
        <w:t>A/119/2024 - 10/21 - (ATF 141 V 281 consid. 2.2 ; arrêt du Tribunal fédéral 9C_756/2018 du 17 avril 2019 5.2.2 et la référence).</w:t>
      </w:r>
    </w:p>
    <w:p>
      <w:r>
        <w:rPr>
          <w:b/>
        </w:rPr>
        <w:t>E. 5.4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418 consid. 7.1 ; arrêts du Tribunal fédéral 8C_43/2023 du 29 novembre 2023 consid. 5.2 ;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5.5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 catégorie « Degré de gravité fonctionnel » (ATF 141 V 281 consid. 4.3) : A. complexe « Atteinte à la santé » (consid. 4.3.1) : expression des éléments pertinents pour le diagnostic (consid. 4.3.1.1), succès du traitement et de la réadaptation ou résistance à cet égard (consid. 4.3.1.2), comorbidités (consid. 4.3.1.3) ; B. complexe « Personnalité » (diagnostic de la personnalité, ressources personnelles; consid. 4.3.2) ; C. complexe « Contexte social » (consid. 4.3.3) ; - catégorie « Cohérence » (aspects du comportement; consid. 4.4) :</w:t>
      </w:r>
    </w:p>
    <w:p>
      <w:r>
        <w:t>A/119/2024 - 11/21 -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5.6</w:t>
      </w:r>
    </w:p>
    <w:p>
      <w:r>
        <w:t>Le trouble de l'adaptation est une atteinte à la santé psychique qui n'est, en principe, pas considérée comme une maladie de longue durée et donc potentiellement invalidante. Un trouble de l'adaptation dure rarement plus de six mois (arrêt du Tribunal fédéral 9C_408/2023 du 23 avril 2024 consid. 5.2 et les références). Cependant, selon la CIM-10, le psychiatre peut préciser le diagnostic de trouble de l'adaptation au moyen de sept subdivisions, avec l'ajout d'un quatrième caractère. Ainsi, il peut diagnostiquer par exemple un trouble de l'adaptation, avec réaction dépressive brève (F43.20) ou avec réaction dépressive prolongée (F43.21). Or, à la différence du trouble de l'adaptation avec réaction dépressive brève, le trouble de l'adaptation avec réaction dépressive prolongée (F43.21) peut persister au-delà de six mois. Dès lors, le trouble de l'adaptation peut sous certaines circonstances – qu'il appartient au psychiatre d'établir conformément à la procédure probatoire définie à l'ATF 141 V 281 –, être pertinent pour l'octroi d'une rente de l'assurance-invalidité (arrêt du Tribunal fédéral 9C_408/2023 du 23 avril 2024 consid. 5.2 et les références).</w:t>
      </w:r>
    </w:p>
    <w:p>
      <w:r>
        <w:rPr>
          <w:b/>
        </w:rPr>
        <w:t>E. 5.7</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w:t>
      </w:r>
    </w:p>
    <w:p>
      <w:r>
        <w:t>A/119/2024 - 12/21 - encore, raisonnablement, exiger de l’assuré (ATF 125 V 256 consid. 4 et les références).</w:t>
      </w:r>
    </w:p>
    <w:p>
      <w:r>
        <w:rPr>
          <w:b/>
        </w:rPr>
        <w:t>E. 6.2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6.3</w:t>
      </w:r>
    </w:p>
    <w:p>
      <w:r>
        <w:t>Sans remettre en cause le principe de la libre appréciation des preuves, le Tribunal fédéral a posé des lignes directrices en ce qui concerne la manière d'apprécier certains types d'expertises ou de rapports médicaux.</w:t>
      </w:r>
    </w:p>
    <w:p>
      <w:r>
        <w:rPr>
          <w:b/>
        </w:rPr>
        <w:t>E. 6.3.1</w:t>
      </w:r>
    </w:p>
    <w:p>
      <w:r>
        <w:t>Selon l'art. 43 al. 1 1re phrase LPGA, l'assureur examine les demandes, prend d'office les mesures d'instruction nécessaires et recueille les renseignements dont il a besoin. Conformément à l'art. 54a LAI, des SMR interdisciplinaires sont à la disposition des offices AI pour évaluer les conditions médicales du droit aux prestations (al. 1 et 2). Ils établissent les capacités fonctionnelles de l'assuré qui sont déterminantes pour l'AI conformément à l'art. 6 LPGA, pour l'exercice d'une activité lucrative ou pour l'accomplissement des travaux habituels (al. 3). Ils sont indépendants dans l'évaluation médicale des cas d'espèce (al. 4).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49 al. 1 RAI) ou examiner les assurés au sein du SMR (art. 49 al. 2 RAI). Lors de la détermination des capacités fonctionnelles (art. 54a al. 3 LAI), la capacité de travail attestée médicalement pour l’activité exercée jusque-là et pour les activités adaptées est évaluée et justifiée en tenant compte, qualitativement et quantitativement, de toutes les ressources et limitations physiques, mentales ou psychiques (art. 49</w:t>
      </w:r>
    </w:p>
    <w:p>
      <w:r>
        <w:t>A/119/2024 - 13/21 - al. 1bis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 propositions. À noter que l'art. 43 al. 2 LPGA prévoit que l'assuré doit se soumettre à des examens médicaux ou techniques si ceux-ci sont nécessaires à l'appréciation du cas et qu'ils peuvent être raisonnablement exigés. Ainsi, si l'art. 44 LPGA prévoyant les conditions de mise en œuvre d'une expertise externe indépendante ne s'applique pas aux examens médicaux réalisés par les SMR (ATF 135 V 254 consid. 3.4), le juge peut néanmoins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 ATF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6.3.2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w:t>
      </w:r>
    </w:p>
    <w:p>
      <w:r>
        <w:t>A/119/2024 - 14/21 -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6.3.3</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6.4</w:t>
      </w:r>
    </w:p>
    <w:p>
      <w:r>
        <w:t>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w:t>
      </w:r>
    </w:p>
    <w:p>
      <w:r>
        <w:rPr>
          <w:b/>
        </w:rPr>
        <w:t>E. 9</w:t>
      </w:r>
    </w:p>
    <w:p>
      <w:r>
        <w:t>Pour ce qui est des autres prestations de l'AI, la recourante, représentée par une avocate, ne précise pas lesquelles elle sollicite, n'apporte aucune motivation à sa demande et, en l'absence de toute invalidité, de toute incapacité de travail et de toute intention de travailler, au vu de la situation de son fils, on ne voit pas quelle mesure elle serait susceptible de solliciter.</w:t>
      </w:r>
    </w:p>
    <w:p>
      <w:r>
        <w:rPr>
          <w:b/>
        </w:rPr>
        <w:t>E. 10</w:t>
      </w:r>
    </w:p>
    <w:p>
      <w:r>
        <w:t>Dans ces circonstances, le recours, mal fondé, sera rejeté.</w:t>
      </w:r>
    </w:p>
    <w:p>
      <w:r>
        <w:rPr>
          <w:b/>
        </w:rPr>
        <w:t>E. 11</w:t>
      </w:r>
    </w:p>
    <w:p>
      <w:r>
        <w:t>Vu l'issue du litige, un émolument de CHF 200.- sera mis à la charge de la recourante (art. 69 al. 1bis LAI), et il ne lui sera pas alloué de dépens (art. 61 let. g LPGA a contrario).</w:t>
      </w:r>
    </w:p>
    <w:p>
      <w:r>
        <w:t>A/119/2024 - 21/21 -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