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ATAS/165/2018 vom 27. Februar 2018</w:t>
      </w:r>
    </w:p>
    <w:p>
      <w:r>
        <w:t>GE Cour de justice, 2018-02-27, FR</w:t>
      </w:r>
    </w:p>
    <w:p>
      <w:r>
        <w:rPr>
          <w:b/>
        </w:rPr>
        <w:t xml:space="preserve">Quelle: </w:t>
      </w:r>
      <w:r>
        <w:t>https://mcp.opencaselaw.ch/entscheid/ge_gerichte_ATAS_165_2018</w:t>
      </w:r>
    </w:p>
    <w:p>
      <w:r>
        <w:t>FR: GE_GERICHTE ATAS/165/2018 du 27 février 2018</w:t>
      </w:r>
    </w:p>
    <w:p>
      <w:r>
        <w:t>IT: GE_GERICHTE ATAS/165/2018 del 27 febbraio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A/2401/2017 - 8/19 - (LPGA - RS 830.1), relatives à la loi fédérale sur l’assurance-invalidité du 19 juin 1959 (LAI - RS 831.20). Sa compétence pour juger du cas d’espèce est ainsi établie, la décision attaquée ayant été rendue en application de la LAI.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recours a été formé en temps utile (art. 60 al. 1 LPGA), dans le respect des exigences de forme et de contenu prévues par l’art. 61 let. b LPGA (cf. aussi art. 89B LPA), par une personne ayant qualité pour recourir dès lors qu’elle est touchée par la décision attaquée et a un intérêt digne de protection à son annulation ou à sa modification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Si une appréciation consciencieuse des preuves fournies par les investigations devant être effectuée d’office les convainc que certains faits sont établis et que d’autres mesures probatoires ne pourraient plus modifier cette appréciation, l’assureur ou le juge peuvent renoncer à administrer d’autres preuves (ATF 122 II 464 consid. 4a ; 122 III 219 consid. 3c ; arrêt du Tribunal fédéral 9C_198/2016 du 31 mai 2016 consid. 4.2) ; une telle appréciation anticipée des preuves ne viole pas le droit d’être entendu garanti par l’art. 29 al. 2 de la Constitution fédérale de la Confédération suisse du 18 avril 1999 (RS 101 - Cst ; SVR 2001 IV n. 10 p. 28 consid. 4b ; ATF 124 V 90 consid. 4b ; 122 V 157 consid. 1d). c. Comme l’administration, le juge des assurances sociales apprécie librement les preuves, sans être lié par des règles formelles (art. 61 let. c in fine LPGA). Il doit</w:t>
      </w:r>
    </w:p>
    <w:p>
      <w:r>
        <w:t>A/2401/2017 - 9/19 -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A/2401/2017 - 10/19 -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s’agissant de la LAI, le droit applicable est le droit actuellement en vigueur, résultant de la dernière révision de la LAI, dite 6a du 18 mars 2011, entrée en vigueur le 1er janvier 2012. Au demeurant, cette révision-ci de la LAI, de même que ses précédentes révisions (la 5ème révision, du 6 octobre 2006, entrée en vigueur le 1er janvier 2008, et la 4ème révision, du 21 mars 2003, entrée en vigueur le 1er janvier 2004), n’ont pas amené de modifications substantielles en particulier en matière d'évaluation de l'invalidité, qui est la question ici litigieuse (arrêt du Tribunal fédéral des assurances I.249/05 du 11 juillet 2006 consid. 2.1 et Message</w:t>
      </w:r>
    </w:p>
    <w:p>
      <w:r>
        <w:t>A/2401/2017 - 11/19 -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Le litige porte sur la question de savoir si le recourant peut être mis au bénéfice d’une rente d’invalidité.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 à 49 %, de 50 % à 59 %, de 60 % à 69 % ou de 70 % ou plus (art. 28 al. 2 LAI). c.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ainsi une notion économique (ATF 110 V 273 consid. 4a ; arrêt du Tribunal fédéral des assurances I 654/00 du 9 avril 2001 consid. 1 ; Pierre-Yves GREBER, op. cit., vol. I, n. 156 ss, 160 ss), même si elle comprend un aspect médical important puisqu'elle doit résulter d'une atteinte à la santé physique, mentale ou psychique, attestée médicalement (consid. 2c).</w:t>
      </w:r>
    </w:p>
    <w:p>
      <w:r>
        <w:t>A/2401/2017 - 12/19 -</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Il ne suffit pas de constater que l’assuré n’exerce pas une activité lucrative suffisante ; il faut se demander si la mise à profit de sa capacité de travail ne peut, pratiquement, plus être raisonnablement exigée de lui, ou qu'elle serait même insupportable pour la société (ATF 127 V 294 consid. 4c ; 102 V 165 ; VSI 2001 p. 224 consid. 2b et les références). Les circonstances qui peuvent faire apparaître la valorisation de la capacité résiduelle de travail sur le marché du travail comme étant inexigible sont notamment la gravité notable, l’intensité, l’étendue et la durée de l’atteinte psychique à la santé, les atteintes physiques chroniques associées d’une durée de plusieurs années en présence de symptômes inchangés ou en progression et sans phases de rémission, des résultats insatisfaisants du traitement malgré des efforts de traitement conséquents et suivis (Michel VALTERIO, op. cit., n. 1192 s.). Par arrêt du 30 novembre 2017 (8C_841/2016, 8C_130/2017), le Tribunal fédéral a modifié sa jurisprudence pour les troubles psychiques en matière d'AI.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Pour les dépressions légères à moyennes en particulier, cela a pour conséquence que le critère de « résistance à la thérapie » comme condition pour obtenir une rente AI n'a plus la même importance.</w:t>
      </w:r>
    </w:p>
    <w:p>
      <w:r>
        <w:rPr>
          <w:b/>
        </w:rPr>
        <w:t>E. 6</w:t>
      </w:r>
    </w:p>
    <w:p>
      <w:r>
        <w:t>a. S’agissant des troubles somatoformes douloureux, il sied de rappeler que, dans un arrêt de principe du 12 mars 2004 (ATF 130 V 352), le Tribunal fédéral avait posé la présomption que les affections psychosomatiques – comportant les symptomatologies douloureuses sans substrat organique objectivable (autrement appelées « troubles somatoformes douloureux ») et d’autres affections psycho-somatiques assimilées, dont la fibromyalgie (ATF 132 V 65 consid. 3 et 4.1) –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w:t>
      </w:r>
    </w:p>
    <w:p>
      <w:r>
        <w:t>A/2401/2017 - 13/19 -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130 V 352; Michel VALTERIO, op. cit., n. 1199 ss ; Jacques-André SCHNEIDER, L’invalidité, les douleurs dites « non objectivables » et le Tribunal fédéral : la rupture, in Regards de marathoniens sur le droit suisse, 2015, p. 409 ss). b.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w:t>
      </w:r>
    </w:p>
    <w:p>
      <w:r>
        <w:t>A/2401/2017 - 14/19 -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w:t>
      </w:r>
    </w:p>
    <w:p>
      <w:r>
        <w:rPr>
          <w:b/>
        </w:rPr>
        <w:t>E. 7</w:t>
      </w:r>
    </w:p>
    <w:p>
      <w:r>
        <w:t>a. En l’espèce, la demande de prestations présentée en octobre 2014 par le recourant se bornait à indiquer, au chapitre des atteintes à la santé, « Mal partout et dépression », et elle ne citait que le Dr E______ comme médecin auprès duquel il était alors en traitement. Aussi l’intimé a-t-il requis un rapport dudit psychiatre. Dans son rapport du 12 décembre 2014, ce dernier a posé le diagnostic d’épisode dépressif moyen (F33.11) depuis le 28 février 2014 ainsi que, sans effet sur la capacité de gain du recourant, de trouble somatoforme douloureux (F45) versus de facteurs psychologiques associés à des maladies ou à des troubles classés ailleurs (F54), en précisant que les critères de gravité requis par la jurisprudence ne permettaient pas de retenir de tels troubles comme incapacitants, et il a indiqué simplement que des investigations somatiques étaient en cours (sans faire mention du médecin somaticien qui les menait). Le Dr E______ a soutenu le même point de vue dans ses rapports subséquents des 8 juin 2015 et 18 janvier 2016, dont il résulte que, cliniquement, il estimait le recourant totalement incapable de travailler, mais devait concéder que, du point de vue médico-théorique au regard de la jurisprudence alors en vigueur, les atteintes à la santé précitées n’avaient pas de répercussion sur la capacité de travail du recourant, au point qu’un examen médical complémentaire n’était pas nécessaire. b. À juste titre au regard de son devoir d’établissement des faits en application de la maxime inquisitoire, l’intimé n’en a pas moins estimé nécessaire, sur préavis du SMR, de se renseigner sur toutes les atteintes à la santé dont le recourant pouvait être affecté, en s’adressant, après avoir obtenu son identité, au médecin somaticien du recourant, le Dr H______.</w:t>
      </w:r>
    </w:p>
    <w:p>
      <w:r>
        <w:t>A/2401/2017 - 15/19 - Ce dernier lui a alors indiqué, le 28 janvier 2016 (en confirmation d’ailleurs de ce que le Dr E______ avait signalé dans son rapport dix jours plus tôt), qu’une polyarthrite rhumatoïde avait été exclue, et il a évoqué pour le surplus une symptomatologie psychique, à savoir une dépression moyenne, des décompensations dépressives moyennes, ajoutant que celles-ci étaient en lien avec des douleurs diffuses fibromyalgiques. Concernant celle-ci, il ne précisait nullement les symptômes qui justifiaient d’en retenir une (en particulier le nombre de points de fibromyalgie sensibles), et il ne déduisait aucun effet incapacitant d’une fibromyalgie, puisqu’il a indiqué que, d’un point de vue médical, tant l’activité exercée jusque-là (soit l’activité dite habituelle) qu’une activité adaptée étaient exigibles à 100 % (avec une baisse de rendement de 20 % s’agissant de l’activité habituelle), les limitations fonctionnelles du recourant ne consistant que dans le fait de n’avoir pas à soulever des poids de plus de 10 kg et de pouvoir changer de position une fois par heure. Il n’y a pas d’autre(s) élément(s) – et le recourant n’en a produit aucun à ce sujet – qui justifierai(en)t de retenir que le recourant est atteint de fibromyalgie. Ce sujet n’a pas été éludé lors de l’évaluation d’entretien que le recourant a eu avec l’experte, mais il n’en est pas ressorti d’éléments devant conduire à retenir une fibromyalgie incapacitante. L’instruction du dossier ne peut être considérée comme lacunaire sur ce point, pas plus que ne peut être critiquée la conclusion, incluse dans la conclusion plus générale que l’intimé a tirée du rapport d’expertise et du rapport du SMR, que le recourant n’est pas atteint d’une fibromyalgie incapacitante. C’était uniquement sur le plan psychiatrique que se posait la question de savoir, au vu des éléments du dossier, si le recourant était atteint d’une pathologie psychiatrique, y compris un trouble somatoforme douloureux persistant, qui fût de surcroît source d’incapacité de gain. Aussi est-ce à juste titre que l’intimé, à la suite des observations formulées par le recourant consécutivement à la décision qu’il lui avait annoncé vouloir rendre, a ordonné une expertise dans la seule discipline ici pertinente, à savoir la psychiatrie.</w:t>
      </w:r>
    </w:p>
    <w:p>
      <w:r>
        <w:rPr>
          <w:b/>
        </w:rPr>
        <w:t>E. 8</w:t>
      </w:r>
    </w:p>
    <w:p>
      <w:r>
        <w:t>a. En plus de n’être pas prolixe (ce qui constitue plutôt une qualité), voire d’être concis, le rapport d’expertise psychiatrique de la Dresse K______, dont l’intimé, à la suite de l’avis du SMR, a suivi les conclusions satisfait d’un point de vue formel aux exigences jurisprudentielles. Comme relaté dans la partie En fait (ch. 16), il comporte un énoncé au demeurant développé et structuré des données subjectives de même que celui des données objectives, se prolonge par une discussion du cas centrée sur les points pertinents, et il aboutit à des conclusions claires, à savoir que si le recourant peut avoir des épisodes de décompensations psychiques et doit suivre un traitement ambulatoire psychiatrique et psychothérapeutique, justifiant que soit retenu le diagnostic d’épisode dépressif moyen mais pas de trouble somatoforme douloureux persistant, il ne présente pas d’incapacité de travail durable, ni dans son activité habituelle ni dans une activité adaptée, référence étant</w:t>
      </w:r>
    </w:p>
    <w:p>
      <w:r>
        <w:t>A/2401/2017 - 16/19 - faite à cet égard aux « formes de douleurs à l’origine de son incapacité fonctionnelle », par quoi il faut manifestement entendre – en plus, le cas échéant et pour la durée limitée de leur manifestation, d’épisodes de décompensations psychiques – les limitations précitées, fort limitées et en elles-mêmes pas incapacitantes, évoquées par le médecin somaticien. L’appréciation que l’experte n’a pas pris un temps suffisant pour mener l’entretien d’évaluation et a même écourté ce dernier à la suite de téléphones reçus est celle, toute subjective, du recourant. Rien ne permet de la retenir comme un motif objectif d’amoindrissement de la valeur probante de l’expertise. La qualité et la valeur probante d’un rapport d’expertise ne dépend pas de façon proportionnelle du temps consacré à l’entretien et à l’observation du comportement de l’expertisé, l’expert devant se forger une opinion sur la base de l’ensemble du dossier (arrêt du Tribunal fédéral I 719/06 du 4 juillet 2007 consid. 2.2 ; arrêt du Tribunal fédéral des assurances I 764/05 du 30 mai 2005 consid. 2.3 ; ATAS/246/2017 du 28 mars 2017 consid. 5g). Il appert en l’espèce que l’experte a procédé à une analyse approfondie du dossier. Il sied de relever que le recourant, concernant notamment l’anamnèse (qui, à le croire, aurait été bâclée), s’est largement appuyé sur le rapport d’expertise pour énoncer les faits pertinents de la cause dans son recours, sans corriger ou compléter notamment les données anamnestiques. b. D’un point de vue matériel, l’intimé a demandé à l’experte d’appliquer les critères établis par la nouvelle jurisprudence du Tribunal fédéral. Le rapport d’expertise ne repose pas sur une présomption que le recourant pourrait surmonter un trouble somatoforme douloureux persistant ou plus généralement son trouble psychique par un effort de volonté raisonnable. On discerne au contraire que l’experte a fait référence aux facteurs extérieurs incapacitants et aux ressources de compensation du recourant et a procédé à une pondération de ces indicateurs. En plus de s’être fait le porte-parole d’une perception subjective du recourant quant à une disponibilité insuffisante dont l’experte aurait fait montre, et d’avoir par-là manifesté la propension d’un médecin traitant à n’avoir souvent pas un recul suffisant pour émettre un avis pleinement probant, le (nouveau) psychiatre traitant du recourant n’a pas avancé d’éléments qui fragiliseraient le rapport d’expertise. Dans la discussion du cas, l’experte a indiqué les éléments qu’elle estimait en faveur du diagnostic d’épisode dépressif récurrent avec une symptomatologie dépressive moyenne, à savoir, avant tout, une perte de plaisir, une perte d’intérêts, une fatigue et une démotivation, également des pensées récurrentes de mort, une perte de confiance en soi avec une baisse de l’estime de soi, des difficultés de concentration, une perturbation de la qualité et de la quantité du sommeil. La pose de ce diagnostic n’implique cependant pas la reconnaissance d’un caractère invalidant. En l’occurrence, l’experte relevait qu’une médication psychotrope appropriée était associée à une psychothérapie.</w:t>
      </w:r>
    </w:p>
    <w:p>
      <w:r>
        <w:t>A/2401/2017 - 17/19 - La critique faite par le psychiatre traitant à l’experte d’avoir, au niveau des examens biologiques qu’elle a effectués, dosé le Trittico mais pas le traitement antidépresseur, n’est pas fondée. Comme les médecins du SMR l’ont relevé dans leur avis médical du 26 juin 2017, il appartenait à l’experte de faire les examens lui apparaissant pertinents, et elle l’avait fait en l’occurrence pour le Trittico en lien avec les troubles du sommeil avec des cauchemars dont se plaignait le recourant, dans une mesure susceptible d’être mise en doute au vu d’un tel monitoring médicamenteux. Quant au diagnostic non retenu de trouble somatoforme douloureux persistant, l’experte a expliqué dans son rapport que si elle a capté un sentiment de détresse lors de l’entretien d’évaluation, force était de retenir que les douleurs manifestées par le recourant étaient de type de contractures ; il n’y avait pas eu de rictus, de boiterie, de changement fréquent de position ou de maintien, une extrême lenteur, des gémissements ou une marche voûtée. Cela permettait d’exclure une douleur vécue au moment de l’évaluation, étant précisé qu’un syndrome douloureux persistant doit survenir en dehors d’un trouble de l’humeur pour pouvoir être retenu comme diagnostic, à teneur des critères d’exclusion de la CIM-10. L’experte a indiqué que l’origine organique des douleurs du rachis lombaire du recourant était objectivée par un examen radiologique effectué en 2013, qui avait mis en avant un canal lombaire étroit prédominant en L2-L3 et L4-L5 d’origine mixte (constitutionnelle et dégénérative), mais a précisé que, selon les dires mêmes du recourant, ces douleurs étaient sédatées par un traitement antalgique à base de Dafalgan et de Brufen. L’experte a estimé que le caractère consistant des douleurs était mis en cause dans la cohérence des douleurs décrites et le comportement affiché, et que les plaintes étaient manifestement excessives, contexte dans lequel elle a précisé qu’elles la laissaient insensible comme experte. L’experte a évoqué succinctement la structure de personnalité du recourant et considéré que ce dernier disposait de ressources de compensation devant lui permettre de s’impliquer dans une activité et de participer à la vie sociale. c. Il faut admettre que, contrairement à ce que prétend le recourant et son psychiatre traitant, l’experte a examiné les critères des atteintes à la santé évoquées et appliqué les indicateurs établis par la jurisprudence pour les troubles somatoformes douloureux persistants et, plus généralement, les troubles psychiques. Satisfaisant aux exigences matérielles requises, le rapport d’expertise de la Dresse K______ doit se voir reconnaître force probante. Il n’y a pas matière à ordonner une nouvelle expertise psychiatrique du recourant. C’est à bon droit que l’intimé, au demeurant sur préavis du SMR, a fait siennes les conclusions de ce rapport d’expertise.</w:t>
      </w:r>
    </w:p>
    <w:p>
      <w:r>
        <w:t>A/2401/2017 - 18/19 -</w:t>
      </w:r>
    </w:p>
    <w:p>
      <w:r>
        <w:rPr>
          <w:b/>
        </w:rPr>
        <w:t>E. 9</w:t>
      </w:r>
    </w:p>
    <w:p>
      <w:r>
        <w:t>À défaut d’invalidité, l’intimé devait refuser la demande de rente d’invalidité présentée par le recourant, de même d’ailleurs – sujet ici non litigieux – que des mesures d’ordre professionnel. Le recours est mal fondé. Il doit être rejeté.</w:t>
      </w:r>
    </w:p>
    <w:p>
      <w:r>
        <w:rPr>
          <w:b/>
        </w:rPr>
        <w:t>E. 10</w:t>
      </w:r>
    </w:p>
    <w:p>
      <w:r>
        <w:t>La procédure de recours en matière de contestations portant sur l’octroi ou le refus de prestations de l’assurance-invalidité étant soumise à des frais de justice (art. 69 al. 1bis LAI ; art. 89H al. 4 LPA), il y a lieu de condamner le recourant au paiement d'un émolument, arrêté au minimum de CHF 200.-* il convient de renoncer à la perception d'un émolument, le recourant étant au bénéfice de l'assistance juridique (art. 12 al. 1 du règlement sur les frais, émoluments et indemnités en procédure administrative du 30 juillet 1986 [RFPA - E 5 10.03]). * Rectification d’une erreur matérielle (art. 85 LPA) le 27 avril 2018/MRL/nrm Vu son issue, il n’y a pas matière à allocation d’une indemnité de procédure (art. 61 let. g LPGA). * * * * * *</w:t>
      </w:r>
    </w:p>
    <w:p>
      <w:r>
        <w:t>A/2401/2017 - 19/19 -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