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ATAS/1658/2009 vom 18. Dezember 2009</w:t>
      </w:r>
    </w:p>
    <w:p>
      <w:r>
        <w:t>GE Cour de justice, 2009-12-18, FR</w:t>
      </w:r>
    </w:p>
    <w:p>
      <w:r>
        <w:rPr>
          <w:b/>
        </w:rPr>
        <w:t xml:space="preserve">Quelle: </w:t>
      </w:r>
      <w:r>
        <w:t>https://mcp.opencaselaw.ch/entscheid/ge_gerichte_ATAS_1658_2009</w:t>
      </w:r>
    </w:p>
    <w:p>
      <w:r>
        <w:t>FR: GE_GERICHTE ATAS/1658/2009 du 18 décembre 2009</w:t>
      </w:r>
    </w:p>
    <w:p>
      <w:r>
        <w:t>IT: GE_GERICHTE ATAS/1658/2009 del 18 dicembre 2009</w:t>
      </w:r>
    </w:p>
    <w:p>
      <w:pPr>
        <w:pStyle w:val="Heading2"/>
      </w:pPr>
      <w:r>
        <w:t>Erwägungen</w:t>
      </w:r>
    </w:p>
    <w:p>
      <w:r>
        <w:rPr>
          <w:b/>
        </w:rPr>
        <w:t>E. 1</w:t>
      </w:r>
    </w:p>
    <w:p>
      <w:r>
        <w:t>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w:t>
      </w:r>
    </w:p>
    <w:p>
      <w:r>
        <w:rPr>
          <w:b/>
        </w:rPr>
        <w:t>E. 2</w:t>
      </w:r>
    </w:p>
    <w:p>
      <w:r>
        <w:t>La LPGA, entrée en vigueur le 1er janvier 2003, est applicable au cas d’espèce en vertu de l’art. 1 al. 1 LACI.</w:t>
      </w:r>
    </w:p>
    <w:p>
      <w:r>
        <w:rPr>
          <w:b/>
        </w:rPr>
        <w:t>E. 3</w:t>
      </w:r>
    </w:p>
    <w:p>
      <w:r>
        <w:t>Interjeté dans les forme et délai prescrits par la loi, le recours est recevable (art. 56 et 60 LPGA et art. 89B de la loi sur la procédure administrative du 12 septembre 1985 [LPA; E 5 10]).</w:t>
      </w:r>
    </w:p>
    <w:p>
      <w:r>
        <w:rPr>
          <w:b/>
        </w:rPr>
        <w:t>E. 4</w:t>
      </w:r>
    </w:p>
    <w:p>
      <w:r>
        <w:t>Le litige porte sur la question de savoir si c’est à bon droit que l’intimé a nié le droit de la recourante à l’indemnité pour réduction de l’horaire de travail (ci-après : RHT) pour la période du 1er juin au 30 novembre 2009. En effet, la demande d’indemnité se limite à une période de six mois au maximum (cf. art. 36 al. 1 LACI).</w:t>
      </w:r>
    </w:p>
    <w:p>
      <w:r>
        <w:rPr>
          <w:b/>
        </w:rPr>
        <w:t>E. 5</w:t>
      </w:r>
    </w:p>
    <w:p>
      <w:r>
        <w:t>a)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(art. 31 al. 1 let. a LACI), lorsque la perte de travail doit être prise en considération (art. 31 al. 1 let. b LACI), lorsque le congé n’a pas été donné (art. 31 al. 1 let. c LACI) et enfin,</w:t>
      </w:r>
    </w:p>
    <w:p>
      <w:r>
        <w:t>A/3125/2009 - 7/12 - lorsque la réduction de l’horaire de travail est vraisemblablement temporaire et que l’on peut admettre qu’elle permettra de maintenir les emplois en question (art. 31 al. 1 let. d LACI). Selon la doctrine, l’examen du caractère temporaire de la RHT doit être faite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b) La loi, en son art. 31 al. 3, exclut expressément le droit à l’indemnité pour : a. les travailleurs dont la réduction de l’horaire de travail ne peut être déterminée ou dont l’horaire de travail n’est pas suffisamment contrôlable; b. le conjoint de l’employeur, occupé dans l’entreprise de celui-ci;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économiques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w:t>
      </w:r>
    </w:p>
    <w:p>
      <w:r>
        <w:t>A/3125/2009 - 8/12 -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d) La loi exclut expressément en son art. 33 al. 1 la prise en considération de la perte de travail - même lorsque celle-ci répond aux critères énoncés par l’art. 32 al. 1 LACI - notamment lorsque : a.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b. lorsqu'elle est habituelle dans la branche, la profession ou l'entreprise, ou qu'elle est causée par des fluctuations saisonnières de l'emploi (art. 33 al. 1 let. b LACI); On précisera que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w:t>
      </w:r>
    </w:p>
    <w:p>
      <w:r>
        <w:t>A/3125/2009 - 9/12 - Conformément à l’art. 36 al. 2 LACI, l’employeur doit indiquer dans le préavis : a. le nombre des travailleurs occupés dans l’entreprise et celui des travailleurs touchés par la réduction de l’horaire de travail (art. 36 al. 2 let. a LACI), b. l’ampleur de la réduction de l’horaire de travail ainsi que sa durée probable (art. 36 al. 2 let. b LACI), c. et la caisse auprès de laquelle il entend faire valoir le droit à l’indemnité (art. 36 al. 2 let. c LACI). Il doit en outre justifier la réduction de l’horaire de travail envisagée et rendre plausible, à l’aide des documents prescrits par le Conseil fédéral, que les conditions dont dépend le droit à l’indemnité, en vertu des art. 31 al. 1 LACI (cf. consid. 5a supra) et 32 al. 1 let. a LACI (c'est-à-dire perte de travail inévitable et due à des facteurs d’ordre économique) sont réunies. L’autorité cantonale peut exiger d’autres documents nécessaires à l’examen du cas (art. 36 al. 3 LACI).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et 32 al. l let. b (au moins 10% de l’ensemble des heures normalement effectuées) LACI - sont remplies (circulaire RHT G16 et G18; art. 39 al. 1 LACI). Lorsque l’autorité cantonale estime qu’une ou plusieurs conditions du droit à l’indemnité ne sont pas remplies, elle s’oppose par décision au versement de l’indemnité. Dans chaque cas, elle en informe l’employeur et la caisse qu’il a désignée (art. 36 al. 4 LACI).</w:t>
      </w:r>
    </w:p>
    <w:p>
      <w:r>
        <w:rPr>
          <w:b/>
        </w:rPr>
        <w:t>E. 6</w:t>
      </w:r>
    </w:p>
    <w:p>
      <w:r>
        <w:t>novembre 2009, le SECO précisait que lorsqu'une perte de travail, un recul des demandes ou un fléchissement économique sortait du cadre habituel et normal fixé par la loi, il fallait considérer que l’on était en présence de circonstances extraordinaires ne pouvant plus être qualifiées de « risque normal d'exploitation » ; de telles circonstances fondaient la prise en considération de la perte de travail et un droit à l'indemnité dans la mesure où les autres conditions y donnant droit étaient remplies (circ. RHT, ch. marg. D9, dernière phrase et ch. marg. D11). Le SECO admettait également que, pour de nombreuses entreprises, la crise économique actuelle revêtait un caractère extraordinaire sortant du cadre de la normalité et que le recul de la demande qui en découlait pouvait dès lors être considéré comme inhabituel et fonder la prise en considération des pertes de travail.</w:t>
      </w:r>
    </w:p>
    <w:p>
      <w:r>
        <w:rPr>
          <w:b/>
        </w:rPr>
        <w:t>E. 7</w:t>
      </w:r>
    </w:p>
    <w:p>
      <w:r>
        <w:t>En l’espèce, le Tribunal de céans constate que la recourante a déposé son préavis en vue de la prolongation de la réduction de l’horaire de travail en date du 8 mai 2009, soit dans les délais requis avant l’échéance de l’octroi de la RHT. Pour juger du présent litige, il convient de se placer au moment où la demande de prolongation de l’indemnité a été déposée, soit en l’occurrence le 8 mai 2009. L’intimé s’est opposé au versement de la réduction, au motif que la mauvaise conjoncture économique actuelle correspondrait au risque normal d’exploitation par excellence. Cet argument doit cependant être écarté. En premier lieu parce que le SECO lui-même a reconnu depuis lors que la crise actuelle sort du commun mais également parce que les chiffres concernant la recourante en particulier le démontrent. Ainsi que le fait valoir cette dernière, la diminution du chiffre d’affaires qu’elle subit depuis quelques mois dépasse de loin toutes les difficultés auxquelles elle a été confrontée par le passé et ne saurait dès lors être considérée comme faisant partie du risque normal de l’entrepreneur. La société a en effet subi une chute des commandes due à la survenance de facteurs économiques imprévisibles. Les clients ont renoncé en l’état à passer commande pour renouveler leur matériel ou ont gelé les projets en cours. De telles circonstances fondent une prise en considération de la perte de travail et un droit à l’indemnité en cas de</w:t>
      </w:r>
    </w:p>
    <w:p>
      <w:r>
        <w:t>A/3125/2009 - 11/12 - réduction de l’horaire de travail, dans la mesure où les autres conditions y donnant droit sont remplies (cf. Communication du SECO du 6 novembre 2009 ; Circ. RHT ch. marg. D9, dernière phrase et ch. marg. D11). Le Tribunal de céans considère que la perte de travail liée à la diminution des commandes elle-même consécutive au gel, par les clients de la société, des projets et budgets en cours, doit être prise en considération, d’autant plus qu’il apparaît très vraisemblable que cette perte de travail n’est que passagère, puisque les clients de la recourante ne se sont pas tournés vers ses concurrents mais ont simplement décidé de différer leurs dépenses. En d’autres termes, les clients n’ont pas disparu et il est fort plausible que lorsque la situation économique sera redevenue favorable, l’activité de la société reprendra naturellement sa progression. La réduction de l’horaire de travail lui aura permis de faire le joint, financièrement, jusqu’à ce moment là, ce qui est précisément son but. Eu égard à ces considérations, le Tribunal de céans considère que la recourante a rendu plausible que les conditions des art. 31 al. 1 et 32 al. 1 let a LACI sont remplies. En conséquence, la décision de l’intimé de s’opposer au versement de l’indemnité doit être annulée, étant précisé qu’il appartiendra à la caisse de vérifier si les autres conditions du droit à l'indemnité sont remplies (circulaire RHT G16 et G18), en particulier celles énoncées aux art. 31 al. 3 et 32 al. 1 let. b (art. 39 al. 1 LACI), afin de déterminer si la recourante peut se voir effectivement accorder une indemnité pour RHT pour trente de ses collaborateurs à compter du 1er juin 2009.</w:t>
      </w:r>
    </w:p>
    <w:p>
      <w:r>
        <w:t>A/3125/2009 - 12/12 -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