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ATAS/1652/2009 vom 15. Dezember 2009</w:t>
      </w:r>
    </w:p>
    <w:p>
      <w:r>
        <w:t>GE Cour de justice, 2009-12-15, FR</w:t>
      </w:r>
    </w:p>
    <w:p>
      <w:r>
        <w:rPr>
          <w:b/>
        </w:rPr>
        <w:t xml:space="preserve">Quelle: </w:t>
      </w:r>
      <w:r>
        <w:t>https://mcp.opencaselaw.ch/entscheid/ge_gerichte_ATAS_1652_2009</w:t>
      </w:r>
    </w:p>
    <w:p>
      <w:r>
        <w:t>FR: GE_GERICHTE ATAS/1652/2009 du 15 décembre 2009</w:t>
      </w:r>
    </w:p>
    <w:p>
      <w:r>
        <w:t>IT: GE_GERICHTE ATAS/1652/2009 del 15 dicembre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w:t>
      </w:r>
    </w:p>
    <w:p>
      <w:r>
        <w:t>A/2905/2009 - 5/7 -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la suspension du droit de l'assuré à l'indemnité de chômage pendant 31 jours, singulièrement sur le caractère fautif du comportement de celui- ci.</w:t>
      </w:r>
    </w:p>
    <w:p>
      <w:r>
        <w:rPr>
          <w:b/>
        </w:rPr>
        <w:t>E. 5</w:t>
      </w:r>
    </w:p>
    <w:p>
      <w:r>
        <w:t>Selon l'art. 8 LACI, l'assuré a droit à l'indemnité de chômage s'il est sans emploi, s'il subi une perte de travail à prendre en considération, s'il est domicilié en Suisse, s'il remplit les conditions relatives à la période de cotisation ou en est libéré, s’il est apte au placement et enfin s’il satisfait aux exigences du contrôle. Ces exigences sont prévues à l'art. 17 LACI. L'assuré doit ainsi avec l'assistance de l'office du travail compétent entreprendre tout ce que l'on peut raisonnablement exiger de lui pour éviter le chômage ou l'abréger. Le droit de l'assuré à l'indemnité est suspendu lorsqu'il est établi qu'il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let. a OACI).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w:t>
      </w:r>
    </w:p>
    <w:p>
      <w:r>
        <w:t>A/2905/2009 - 6/7 - les arrêts cités; arrêt G. Du 14 avril 2005, C 48/04; Gerhards, Kommentar zum Arbeitslosenversicherungsgesetz, n. 10 ss ad art. 30).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délai-cadre d'indemnisation, la durée de suspension est prolongée en conséquence (art. 45 OACI).</w:t>
      </w:r>
    </w:p>
    <w:p>
      <w:r>
        <w:rPr>
          <w:b/>
        </w:rPr>
        <w:t>E. 6</w:t>
      </w:r>
    </w:p>
    <w:p>
      <w:r>
        <w:t>En l'espèce, l'employeur a licencié l'assuré avec effet immédiat, au motif que celui- ci était venu travailler en état d'ébriété, et qu'il avait proféré des insultes à son encontre, ce devant des clients de l'établissement.</w:t>
      </w:r>
    </w:p>
    <w:p>
      <w:r>
        <w:rPr>
          <w:b/>
        </w:rPr>
        <w:t>E. 7</w:t>
      </w:r>
    </w:p>
    <w:p>
      <w:r>
        <w:t>L'assuré ne conteste pas ces faits. Il affirme cependant avoir cru qu'il avait congé ce soir-là. Il rappelle au demeurant que son comportement a toujours été irréprochable et que ses qualités professionnelles n'ont jamais été remises en cause.</w:t>
      </w:r>
    </w:p>
    <w:p>
      <w:r>
        <w:rPr>
          <w:b/>
        </w:rPr>
        <w:t>E. 8</w:t>
      </w:r>
    </w:p>
    <w:p>
      <w:r>
        <w:t>Il est ainsi établi qu'un esclandre s'est produit le soir du 29 avril 2009 au lieu de travail de l'assuré. L'instruction menée n'a pas permis de déterminer, à satisfaction de droit, si l'assuré avait ou non de sérieuses raisons de penser qu'il avait congé. Le Tribunal de céans considère qu'il est vraisemblable que tel était bien le cas, vu les changements de planning opérés et vu la fatigue inévitable engendrée par le nombre de nuits de travail que l'assuré a dû assumer sans bénéficier d'un seul congé. La question peut toutefois rester ouverte. Force est en effet de constater que l'assuré a manqué de respect envers son employeur. Il apparaît ainsi qu'il est responsable de son chômage en raison précisément de l'attitude adoptée vis-à-vis de son employeur, le fait que les motifs d'un licenciement immédiat n'aient pas été réunis ou que les qualités professionnelles n'aient pas été remises en question n'y changeant rien au regard de la jurisprudence citée. Le chômage est en effet réputé fautif non seulement lorsque, par son comportement, l'assuré enfreint ses obligations contractuelles de travail, mais aussi lorsque son comportement dans l'entreprise ou en dehors de celle-ci justifie un licenciement. Reste à qualifier la faute commise et à déterminer la durée de la suspension qui doit être infligée. En l'occurrence, la Caisse a infligé à l'assuré une suspension d'une durée de 31 jours, soit le minimum de la faute grave. Le Tribunal de céans considère, au regard de l'ensemble des circonstances du cas d'espèce, et vu le principe de la proportionnalité, qu'il se justifie de retenir plutôt une faute moyenne et partant, réduire la durée de la suspension à 22 jours. Aussi le recours est-il rejeté.</w:t>
      </w:r>
    </w:p>
    <w:p>
      <w:r>
        <w:t>A/2905/2009 - 7/7 -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