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ATAS/164/2014 vom 4. Februar 2014</w:t>
      </w:r>
    </w:p>
    <w:p>
      <w:r>
        <w:t>GE Cour de justice, 2014-02-04, FR</w:t>
      </w:r>
    </w:p>
    <w:p>
      <w:r>
        <w:rPr>
          <w:b/>
        </w:rPr>
        <w:t xml:space="preserve">Quelle: </w:t>
      </w:r>
      <w:r>
        <w:t>https://mcp.opencaselaw.ch/entscheid/ge_gerichte_ATAS_164_2014</w:t>
      </w:r>
    </w:p>
    <w:p>
      <w:r>
        <w:t>FR: GE_GERICHTE ATAS/164/2014 du 4 février 2014</w:t>
      </w:r>
    </w:p>
    <w:p>
      <w:r>
        <w:t>IT: GE_GERICHTE ATAS/164/2014 del 4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et 2012 sont applicables.</w:t>
      </w:r>
    </w:p>
    <w:p>
      <w:r>
        <w:rPr>
          <w:b/>
        </w:rPr>
        <w:t>E. 3</w:t>
      </w:r>
    </w:p>
    <w:p>
      <w:r>
        <w:t>Interjeté dans les formes et délai prévus par la loi, le présent recours est recevable (art. 56 à 61 LPGA).</w:t>
      </w:r>
    </w:p>
    <w:p>
      <w:r>
        <w:rPr>
          <w:b/>
        </w:rPr>
        <w:t>E. 4</w:t>
      </w:r>
    </w:p>
    <w:p>
      <w:r>
        <w:t>Le litige porte sur le droit de la recourante à une allocation pour impotent.</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w:t>
      </w:r>
    </w:p>
    <w:p>
      <w:r>
        <w:t>A/3303/2013 - 6/12 -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w:t>
      </w:r>
    </w:p>
    <w:p>
      <w:r>
        <w:t>A/3303/2013 - 7/12 -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w:t>
      </w:r>
    </w:p>
    <w:p>
      <w:r>
        <w:t>A/3303/2013 - 8/12 -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g)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h)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w:t>
      </w:r>
    </w:p>
    <w:p>
      <w:r>
        <w:t>A/3303/2013 - 9/12 -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A/3303/2013 - 10/12 -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l'assurée a sollicité d'une part une allocation pour impotent – objet du présent litige - et, d'autre part, une rente d'invalidité en raison d'une aggravation de son état de santé depuis la dernière décision de refus. Il y a manifestement eu une confusion dans les actes d'instruction sollicités par le gestionnaire du dossier. Il faut en effet que le SMR soit saisi pour déterminer – le cas échéant après un examen médical ou une expertise - s'il y a eu aggravation de l'état de santé et si les atteintes à la santé sont invalidantes au sens de l'assurance-invalidité, compte tenu de l'évocation d'un trouble somatoforme douloureux, d'une suspicion de canal cervical étroit qui pourrait expliquer tout ou partie du tableau douloureux et d'autres affections. Par ailleurs, il convient d'ordonner l'enquête d'un infirmière sur place pour déterminer précisément le besoin d'aide de l'assurée pour les actes ordinaires de la vie, tant il est vrai que les éléments du dossier médical ne permettent pas d'exclure un besoin d'aide important (il suffit pour cela que l'assurée ne parvienne plus à accomplir une fonction partielle d'un acte, par exemple entrer dans la baignoire) et régulier (ce qui est le cas si l'assurée a besoin d'aide un jour sur deux ou une partie de la journée, ce qui semble ressortir de l'attestation de son médecin qui mentionne "la moitié du temps", ce d'autant si cette aide peut être fluctuante et dépendante de l'importance des épisodes vertigineux). La vraisemblance du besoin d'aide pour les actes ordinaires de la vie est d'autant plus importante que l'enquête sur le ménage avait retenu de très importants empêchements dans le ménage. A ce propos, on discerne mal sur quelle base l'OAI a déterminé que l'assurée, sans atteinte à la santé, serait active à 100%, compte tenu des salaires ressortant de ses CI, même avant le début des vertiges en 1991. Il conviendrait donc – pour l'examen de la rente d'invalidité qui excède l'objet du litige – de vérifier auprès des anciens employeurs le taux d'activité de l'assurée avant le début de l'atteinte.</w:t>
      </w:r>
    </w:p>
    <w:p>
      <w:r>
        <w:t>A/3303/2013 - 11/12 - Finalement, si un besoin d'aide régulier et important pour les actes ordinaires de la vie était retenu par l'enquêtrice, l'intimé devra encore examiner et motiver la décision concernant le droit droit à une allocation d'impotent en fonction des atteintes à la santé qui motivent ce besoin d'aide, en particulier si elles ne sont pas jugées invalidantes pour le calcul du taux d'invalidité déterminant le droit à une rente. L'instruction de la cause et la motivation de la décision sont donc trop lacunaires pour que la Chambre de céans puisse statuer sur le recours.</w:t>
      </w:r>
    </w:p>
    <w:p>
      <w:r>
        <w:rPr>
          <w:b/>
        </w:rPr>
        <w:t>E. 8</w:t>
      </w:r>
    </w:p>
    <w:p>
      <w:r>
        <w:t>Ainsi, le recours est partiellement admis, la décision du 13 septembre 2013 est annulée et la cause est renvoyée à l'intimé pour instruction complémentaire dans le sens des considérants. L'assurée obtenant partiellement gain de cause, une indemnité de procédure de CHF 1'800.-lui sera allouée. Au surplus, l'émolument est mis à la charge de l'intimé.</w:t>
      </w:r>
    </w:p>
    <w:p>
      <w:r>
        <w:t>A/3303/2013 - 12/12 -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