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ATAS/164/2010 vom 3. Oktober 2008</w:t>
      </w:r>
    </w:p>
    <w:p>
      <w:r>
        <w:t>GE Cour de justice, 2008-10-03, FR</w:t>
      </w:r>
    </w:p>
    <w:p>
      <w:r>
        <w:rPr>
          <w:b/>
        </w:rPr>
        <w:t xml:space="preserve">Quelle: </w:t>
      </w:r>
      <w:r>
        <w:t>https://mcp.opencaselaw.ch/entscheid/ge_gerichte_ATAS_164_2010</w:t>
      </w:r>
    </w:p>
    <w:p>
      <w:r>
        <w:t>FR: GE_GERICHTE ATAS/164/2010 du 3 octobre 2008</w:t>
      </w:r>
    </w:p>
    <w:p>
      <w:r>
        <w:t>IT: GE_GERICHTE ATAS/164/2010 del 3 ottobre 2008</w:t>
      </w:r>
    </w:p>
    <w:p>
      <w:pPr>
        <w:pStyle w:val="Heading2"/>
      </w:pPr>
      <w:r>
        <w:t>Regeste</w:t>
      </w:r>
    </w:p>
    <w:p>
      <w:r>
        <w:t>Résumé: Le prononcé d'une ordonnance de jonction des causes ne saurait justifier une apparence de prévention par le juge à l'égard de l'une ou l'autre des parties. Il s'agit d'un simple acte de procédure qui ne préjuge rien quant au fond de l'affaire.</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w:t>
      </w:r>
    </w:p>
    <w:p>
      <w:r>
        <w:t>A/3337/2009 - 4/6 -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 Par ailleurs, selon l’art. 15 al. 2 let. d) LPA, les membres des autorités administratives appelés à rendre ou à préparer une décision doivent se récuser s’il existe des circonstances de nature à faire suspecter leur impartialité.</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w:t>
      </w:r>
    </w:p>
    <w:p>
      <w:r>
        <w:t>A/3337/2009 - 5/6 -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Composé en l’occurrence de cinq juges et de deux assesseurs, le plénum du Tribunal de céans, régulièrement constitué (cf. art. 56U al. 2 LOJ), est ainsi compétent pour statuer sur la demande de récusation.</w:t>
      </w:r>
    </w:p>
    <w:p>
      <w:r>
        <w:rPr>
          <w:b/>
        </w:rPr>
        <w:t>E. 5</w:t>
      </w:r>
    </w:p>
    <w:p>
      <w:r>
        <w:t>La présente demande, déposée le 24 novembre 2009 à la suite de l’ordonnance du 17 novembre 2009, est recevable à la forme (art. 15 al. 3 LPA).</w:t>
      </w:r>
    </w:p>
    <w:p>
      <w:r>
        <w:rPr>
          <w:b/>
        </w:rPr>
        <w:t>E. 6</w:t>
      </w:r>
    </w:p>
    <w:p>
      <w:r>
        <w:t>En l’espèce, les recourants sollicitent la récusation de la Présidente en se fondant en particulier sur les art. 91 let. i LOJ et 15 al. 2 LPA. Ils soutiennent ainsi qu’en prononçant la jonction des causes, la juge visée aurait témoigné haine ou faveur pour l’une des parties, de sorte qu’il y aurait apparence de prévention. A l’appui de leur demande, les recourants font valoir le fait que les motifs invoqués contre l’un et l’autre, de même que les montants réclamés, sont différents et que chacun d’entre eux constitue une personnalité juridique différente de l’autre. Le Tribunal de céans rappelle cependant, à l’instar de la juge visée et du Tribunal fédéral, que l’ordonnance de jonction des causes ne constitue qu’un acte de procédure et ne préjuge rien quant au fond, en particulier s’agissant du montant respectif des créances de la caisse à l’encontre des époux. Par conséquent, le grief de prévention au sens des art. 91 let. i LOJ et 15 al. 2 LPA, manifestement infondé, doit être écarté.</w:t>
      </w:r>
    </w:p>
    <w:p>
      <w:r>
        <w:rPr>
          <w:b/>
        </w:rPr>
        <w:t>E. 7</w:t>
      </w:r>
    </w:p>
    <w:p>
      <w:r>
        <w:t>Au vu de ce qui précède, la demande de récusation est rejetée.</w:t>
      </w:r>
    </w:p>
    <w:p>
      <w:r>
        <w:t>A/3337/2009 - 6/6 -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