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ATAS/164/2009 vom 24. September 2008</w:t>
      </w:r>
    </w:p>
    <w:p>
      <w:r>
        <w:t>GE Cour de justice, 2008-09-24, FR</w:t>
      </w:r>
    </w:p>
    <w:p>
      <w:r>
        <w:rPr>
          <w:b/>
        </w:rPr>
        <w:t xml:space="preserve">Quelle: </w:t>
      </w:r>
      <w:r>
        <w:t>https://mcp.opencaselaw.ch/entscheid/ge_gerichte_ATAS_164_2009</w:t>
      </w:r>
    </w:p>
    <w:p>
      <w:r>
        <w:t>FR: GE_GERICHTE ATAS/164/2009 du 24 septembre 2008</w:t>
      </w:r>
    </w:p>
    <w:p>
      <w:r>
        <w:t>IT: GE_GERICHTE ATAS/164/2009 del 24 settembre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w:t>
      </w:r>
    </w:p>
    <w:p>
      <w:r>
        <w:t>A/3749/2008 3/4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confirmé le partage par moitié des prestations de sortie acquises durant le mariage par le demandeur. Les dates pertinentes sont, d’une part, celle du mariage, le 7 mars 1986, d’autre part le 10 octobre 2008, date à laquelle le jugement de divorce est devenu exécutoire.</w:t>
      </w:r>
    </w:p>
    <w:p>
      <w:r>
        <w:rPr>
          <w:b/>
        </w:rPr>
        <w:t>E. 4</w:t>
      </w:r>
    </w:p>
    <w:p>
      <w:r>
        <w:t>Selon les documents produits, la prestation acquise pendant le mariage par le demandeur est de 201 440,50 F, de sorte qu'il doit à son ex-épouse le montant de 100 720,25 F (201 440,50 F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A/3749/2008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