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ATAS/1640/2009 vom 10. Dezember 2009</w:t>
      </w:r>
    </w:p>
    <w:p>
      <w:r>
        <w:t>GE Cour de justice, 2009-12-10, FR</w:t>
      </w:r>
    </w:p>
    <w:p>
      <w:r>
        <w:rPr>
          <w:b/>
        </w:rPr>
        <w:t xml:space="preserve">Quelle: </w:t>
      </w:r>
      <w:r>
        <w:t>https://mcp.opencaselaw.ch/entscheid/ge_gerichte_ATAS_1640_2009</w:t>
      </w:r>
    </w:p>
    <w:p>
      <w:r>
        <w:t>FR: GE_GERICHTE ATAS/1640/2009 du 10 décembre 2009</w:t>
      </w:r>
    </w:p>
    <w:p>
      <w:r>
        <w:t>IT: GE_GERICHTE ATAS/1640/2009 del 10 dicembre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t>A/1657/2009 - 8/17 -</w:t>
      </w:r>
    </w:p>
    <w:p>
      <w:r>
        <w:rPr>
          <w:b/>
        </w:rPr>
        <w:t>E. 4</w:t>
      </w:r>
    </w:p>
    <w:p>
      <w:r>
        <w:t>Le litige sur la question de savoir les atteintes à la santé de la recourante entraînent une incapacité de travail pouvant ouvrir droit à plus d’un quart de rente. En substance, la recourante estime ne pas être en mesure d’exercer la moindre activité lucrative.</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 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w:t>
      </w:r>
    </w:p>
    <w:p>
      <w:r>
        <w:t>A/1657/2009 - 9/17 -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w:t>
      </w:r>
    </w:p>
    <w:p>
      <w:r>
        <w:t>A/1657/2009 - 10/17 -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a)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S'agissant plus particulièrement des troubles somatoformes douloureux, la jurisprudence admet qu'ils peuvent, dans certaines circonstances, conduire à une incapacité de travail (ATF 120 V 119 consid. 2c/cc; RAMA 1996 no U 256 p. 217 ss consid. 5 et 6).</w:t>
      </w:r>
    </w:p>
    <w:p>
      <w:r>
        <w:t>A/1657/2009 - 11/17 -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Une expertise psychiatrique est en principe nécessaire quand il s'agit de se prononcer sur l'incapacité de travail que de tels troubles sont susceptibles d'entraîner (VSI 2000 p. 160 consid. 4b; arrêt I 683/03, du 12 mars 2004,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683/03 précité, consid. 2.2.2) et être reportée à un diagnostic posé dans le cadre d'une classification reconnue (ATFA I 457/02 du 18 mai 2004, consid. 6.3). Un rapport d'expertise attestant la présence d'une atteinte psychique ayant valeur de maladie - tels des troubles somatoformes douloureux - est donc une condition juridique nécessaire, mais ne constitue pas encore une base suffisante pour que l'on puisse admettre une limitation de la capacité de travail susceptible d'entraîner une invalidité (ATFA I 683/03 précité, consid. 2.2.3; Ulrich MEYER-BLASER, Der Rechtsbegriff der Arbeitsunfähigkeit und seine Bedeutung in der Sozialversicherung, namentlich für den Einkommensvergleich in der Invaliditätsbemessung, in : René SCHAUFFHAUSER/Franz SCHLAURI (éd.), Schmerz und Arbeitsunfähigkeit, St-Gall 2003, p. 64 s., et note 93). En effet, ainsi que cela a été dit plus haut, la jurisprudence considère qu’en règle générale, les troubles somatoformes douloureux persistants n'entraînent pas une limitation de longue durée de la capacité de travail pouvant conduire à une invalidité au sens de l'art. 4 al. 1 LAI (voir sur ce point MEYER-BLASER, op. cit., p. 76 ss, spéc. p. 81 s.). Une exception à ce principe n’est admise que lorsque, selon l'estimation du médecin, les troubles somatoformes douloureux se manifestent avec une telle sévérité que, d'un point de vue objectif, la mise en valeur de sa capacité de travail ne peut, pratiquement plus, - sous réserve des cas de simulation ou d'exagération (SVR 2003 IV no 1 p. 2 consid. 3b/bb; voir aussi MEYER-BLASER, op. cit. p. 83, spéc. 87 s.) - raisonnablement être exigée de l'assuré, ou qu'elle serait même insupportable pour la société (ATF 102 V 165; VSI 2001 p. 224 s. consid. 2b et les références; ATFA I 683/03 précité, consid. 2.2.3 et les arrêts cités; voir également ATF 127 V 298 consid. 4c in fine).</w:t>
      </w:r>
    </w:p>
    <w:p>
      <w:r>
        <w:t>A/1657/2009 - 12/17 - Admissible seulement à titre exceptionnel, le caractère non exigible de la réintégration dans le processus de travail suppose soit la présence manifeste d'une comorbidité psychiatrique d'une acuité et d'une durée importantes, soit le cumul d'autres facteurs déterminés qui, par leur intensité et leur constance, rendent la personne incapable de fournir cet effort de volonté. Constituent de tels facteurs : (1) les affections corporelles chroniques distinctes ou d'un autre processus maladif s'étendant sur plusieurs années sans rémission durable (symptomatologie inchangée ou progressive), (2) une perte d'intégration sociale dans toutes les manifestations de la vie, (3) un état psychique cristallisé, sans évolution possible au plan thérapeutique, marquant simultanément l'échec et la libération du processus de résolution du conflit psychique (profit primaire tiré de la maladie), ou enfin (4) l'échec de traitements ambulatoires ou stationnaires conformes aux règles de l'art et de mesures de réhabilitation, cela en dépit de la motivation et des efforts de la personne assurée pour surmonter les effets des troubles somatoformes douloureux (VSI 2000 p. 155 consid. 2c; ATFA I 683/03 précité, consid. 2.2.3 in fine; MEYER-BLASER, op. cit. p. 76 ss, spéc. 80 ss).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w:t>
      </w:r>
    </w:p>
    <w:p>
      <w:r>
        <w:t>A/1657/2009 - 13/17 -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non pertinents du point de vue des assurances sociales (ATF 127 V 299 consid. 5a; VSI 2000 p. 149 consid. 3), ou si la limitation (partielle ou totale) de la capacité de travail est justifiée par les critères juridiques déterminants, énumérés ci-dessus (cf. ATFA I 683/03 précité consid. 2.2.5).</w:t>
      </w:r>
    </w:p>
    <w:p>
      <w:r>
        <w:rPr>
          <w:b/>
        </w:rPr>
        <w:t>E. 10</w:t>
      </w:r>
    </w:p>
    <w:p>
      <w:r>
        <w:t>En l'espèce, la décision querellée est fondée, d’un point de vue médical, sur l’examen bidisciplinaire pratiqué par les Drs G__________ et H__________. Leur rapport est le fruit d’une réflexion globale, tenant compte tant des plaintes de l’intéressée que des constatations cliniques et de l’ensemble du dossier médical à disposition. Les conclusions sont claires et motivées. Le Tribunal de céans ne voit dès lors pas de raison de s’écarter de ce rapport, qui remplit à l’évidence les critères jurisprudentiels rappelés ci-dessus pour que lui conférée une pleine valeur probante. Le diagnostic de trouble somatoforme douloureux n’est pas contesté. Il est vrai que les avis divergent en revanche quant à la gravité de l’état dépressif de la recourante, qualifié par son psychiatre traitant de trouble dépressif récurrent sévère et de dysthymie par les médecins du SMR. Force est cependant de constater que si les conclusions de ces derniers sont motivées, il n’en va pas de même de celles du psychiatre traitant qui se contente d’alléguer que les experts auraient sous-estimé les symptômes de sa patiente. Qui plus est, le degré de gravité sévère dont fait état le psychiatre traitant est contredit par le diagnostic d’épisode dépressif d’intensité modérée retenu par le CTB en mai 2006. Quoi qu’il en soit, quand bien même on admettrait l’existence d’un trouble dépressif plus important que la dysthymie à laquelle ont conclu les médecins du SMR, cela se révèlerait sans incidence sur l’issue de l’examen du caractère invalidant du trouble somatoforme douloureux puisque selon la jurisprudence du Tribunal fédéral, fondée sur la doctrine médicale, les troubles d’ordre dépressif, tel que celui dont la recourante se prévaut sur la base de l’avis de son médecin, ne constituent pas une comorbidité psychiatrique grave et durable à un trouble somatoforme douloureux, dès lors qu’ils sont une manifestation réactive de ce dernier.Or, les éléments au dossier ne permettent pas de considérer en l’espèce que la problématique psychique serait intervenue avant la symptomatologie douloureuse. Au contraire, toutes deux remontent à la même époque (2005 selon le médecin traitant). Quant à l’anxiété généralisée à laquelle fait allusion le Dr E__________, il n’apparaît pas qu’elle soit d’un degré de gravité tel qu’elle remplisse les critères d’intensité et d’acuité posés par la jurisprudence pour se voir qualifiée de comorbidité psychiatrique suffisante.</w:t>
      </w:r>
    </w:p>
    <w:p>
      <w:r>
        <w:t>A/1657/2009 - 14/17 - Reste à examiner si les autres critères permettant de reconnaître un caractère invalidant au trouble somatoforme douloureux sont remplis en l’occurrence. En premier lieu, on trouve les affections corporelles chroniques. Il doit s’agir d’affections fondées sur un substrat organique et non de douleurs (subjectivement ressenties par la personne atteinte dans sa santé). Or, dans le cas d’espèce, il ne fait nul doute que de telles affections font défaut. En effet, ainsi qu’en attestent les radiographies et rapports fournis par le médecin traitant, les troubles dégénératifs sont qualifiés de « discrets ». Le second facteur à examiner est celui d'un processus maladif s'étendant sur plusieurs années sans rémission durable. Il est patent, dans le présent cas, que la recourante souffre de façon inchangée (les « hauts et les bas » ne sont finalement que peu significatifs à cet égard) depuis plusieurs années. La symptomatologie a effectivement débuté en 2005. Cela étant, ce critère n’est pas suffisant à lui seul pour admettre une invalidité (au sens de la LAI). Quant à la perte d’intégration sociale dans toutes les manifestations de la vie, elle a été écartée par les médecins du SMR, lesquels ont relevé que la recourante avait pu maintenir, et c’est tant mieux, un réseau d’amis et des contacts sociaux. Selon les médecins du SMR, l’état psychique de l’assurée ne peut être qualifié de cristallisé et il n’y a pas non plus d’échec des traitements puisque certains d’entre eux ont été marqués par une amélioration, même si elle n’était que temporaire. En définitive, le Tribunal de céans se doit donc de confirmer l’appréciation faite par les organes de l’assurance-invalidité, à savoir l’absence de pathologie (somatique ou psychiatrique) invalidante. Cette conclusion est imposée par les règles jurisprudentielles et n’est en aucun cas un constat de négation de la symptomatologie de la recourante.</w:t>
      </w:r>
    </w:p>
    <w:p>
      <w:r>
        <w:rPr>
          <w:b/>
        </w:rPr>
        <w:t>E. 11</w:t>
      </w:r>
    </w:p>
    <w:p>
      <w:r>
        <w:t>Il convient à présent de se prononcer sur le calcul du taux d'invalidité auquel a procédé l’intimé. a) Conformément à l'art. 28 al. 1 LAI, l'assuré a droit à un quart de rente s'il est invalide à 40% au moins, à une demi-rente s’il est invalide à 50%, à un trois-quart de rente si son invalidité atteint au moins 60% et à une rente entière si son degré d’invalidité atteint 70%.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w:t>
      </w:r>
    </w:p>
    <w:p>
      <w:r>
        <w:t>A/1657/2009 - 15/17 -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Il convient encore de rappeler l'obligation pour l'assuré de diminuer le dommage. Il s'agit là d'un principe général du droit des assurances sociales (ATF 129 V 463 consid. 4.2, 123 V 233 consid. 3c, 117 V 278 consid. 2b, 400 et les arrêts cités). Le juge ne peut dès lors pas se fonder simplement sur le travail que l'assuré a fourni ou s'estime lui-même capable de fournir depuis le début de son incapacité de travail, ceci pour éviter que le recourant soit tenté d'influencer à son profit, le degré de son invalidité (ATF 106 V 86 consid. 2 p. 87). b) En l’espèce, la recourante ne conteste pas le montant retenu par l’intimé au titre de revenu avant invalidité, de sorte qu’il y a lieu de s’y tenir. Quant au revenu d’invalide, en l’absence de reprise d’activité in casu, il convient de se référer aux salaires statistiques tels qu’ils découlent de l’Enquête suisse sur la structure des salaires éditée par l’Office fédéral de la statistique (ESS). Considérant</w:t>
      </w:r>
    </w:p>
    <w:p>
      <w:r>
        <w:t>A/1657/2009 - 16/17 - que l’assurée pourrait exercer à plein temps une activité adaptée et qu’au regard du large éventail d'activités simples et répétitives offertes par les secteurs de la production et des services, on doit convenir qu'un marché du travail équilibré offre un nombre significatif de postes de travail légers n'exigeant ni port de charges, ni génuflexions, ni position en porte-à-faux du tronc et pouvant être occupés sans difficulté particulière par une personne atteinte d'une affection de l’épaule gauche, il y a lieu de se référer, comme l’a fait l’intimé, aux données de l'ESS 2006 et plus particulièrement au revenu mensuel standardisé d’une femme exerçant une activité simple et répétitive, tous domaines confondus. Le calcul auquel s’est livré l’intimé n’est pas critiquable à cet égard. En particulier, c’est à juste titre qu’il a appliqué une réduction de 15% pour tenir compte de l'ensemble des circonstances du cas d'espèce (soit en particulier l'âge de l'assurée, née en 1946 et les diverses limitations retenues). Une réduction supérieure ne se justifie en effet pas, l’assurée pouvant travailler à plein temps. En conséquence, le calcul du taux d'invalidité doit être confirmé et le recours rejeté.</w:t>
      </w:r>
    </w:p>
    <w:p>
      <w:r>
        <w:t>A/1657/2009 - 17/17 -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