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ATAS/163/2024 vom 13. März 2025</w:t>
      </w:r>
    </w:p>
    <w:p>
      <w:r>
        <w:t>GE Cour de justice, 2025-03-13, FR</w:t>
      </w:r>
    </w:p>
    <w:p>
      <w:r>
        <w:rPr>
          <w:b/>
        </w:rPr>
        <w:t xml:space="preserve">Quelle: </w:t>
      </w:r>
      <w:r>
        <w:t>https://mcp.opencaselaw.ch/entscheid/ge_gerichte_ATAS_163_2024</w:t>
      </w:r>
    </w:p>
    <w:p>
      <w:r>
        <w:t>FR: GE_GERICHTE ATAS/163/2024 du 13 mars 2025</w:t>
      </w:r>
    </w:p>
    <w:p>
      <w:r>
        <w:t>IT: GE_GERICHTE ATAS/163/2024 del 13 marzo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Compte tenu du domicile genevois du recourant,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t>A/1005/2023 - 9/24 -</w:t>
      </w:r>
    </w:p>
    <w:p>
      <w:r>
        <w:rPr>
          <w:b/>
        </w:rPr>
        <w:t>E. 4</w:t>
      </w:r>
    </w:p>
    <w:p>
      <w:r>
        <w:t>Le 1er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citées ci-après dans leur teneur en vigueur à compter du 1er janvier 2017.</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le droit du recourant à une rente à compter du 1er avril 2023.</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8</w:t>
      </w:r>
    </w:p>
    <w:p>
      <w:r>
        <w:t>La responsabilité de l’assureur-accidents s’étend, en principe, à toutes les conséquences dommageables qui se trouvent dans un rapport de causalité naturelle (ATF 129 V 177 consid. 3.1 et les références ; ATF 129 V 402 consid. 4.3.1 et les références) et adéquate avec l’événement assuré (ATF 129 V 177 consid. 3.2 et la référence ; ATF 129 V 402 consid. 2.2 et les références).</w:t>
      </w:r>
    </w:p>
    <w:p>
      <w:r>
        <w:rPr>
          <w:b/>
        </w:rPr>
        <w:t>E. 9.1</w:t>
      </w:r>
    </w:p>
    <w:p>
      <w:r>
        <w:t>Si l'assuré est invalide (art. 8 LPGA) à 10 %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9.2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 ci n'est pas objectivement surmontable (al. 2).</w:t>
      </w:r>
    </w:p>
    <w:p>
      <w:r>
        <w:t>A/1005/2023 - 10/24 -</w:t>
      </w:r>
    </w:p>
    <w:p>
      <w:r>
        <w:rPr>
          <w:b/>
        </w:rPr>
        <w:t>E. 9.3</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10.1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w:t>
      </w:r>
    </w:p>
    <w:p>
      <w:r>
        <w:t>A/1005/2023 - 11/24 - le juge ne saurait les écarter aussi longtemps qu'aucun indice concret ne permet de douter de leur bien-fondé (ATF 137 V 210 consid. 1.3.4 et les références ; 135 V 465 consid. 4.4 et les références ; 125 V 351 consid. 3b/bb).</w:t>
      </w:r>
    </w:p>
    <w:p>
      <w:r>
        <w:rPr>
          <w:b/>
        </w:rPr>
        <w:t>E. 10.4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12.1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w:t>
      </w:r>
    </w:p>
    <w:p>
      <w:r>
        <w:rPr>
          <w:b/>
        </w:rPr>
        <w:t>E. 12.2</w:t>
      </w:r>
    </w:p>
    <w:p>
      <w:r>
        <w:t>Pour procéder à la comparaison des revenus, il convient de se placer au moment de la naissance du droit à la rente ; les revenus avec et sans invalidité</w:t>
      </w:r>
    </w:p>
    <w:p>
      <w:r>
        <w:t>A/1005/2023 - 12/24 -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12.3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 accidents, dès lors que la notion d'invalidité y est la même que dans l'assurance-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w:t>
      </w:r>
    </w:p>
    <w:p>
      <w:r>
        <w:rPr>
          <w:b/>
        </w:rPr>
        <w:t>E. 12.4</w:t>
      </w:r>
    </w:p>
    <w:p>
      <w:r>
        <w:t>Sur la base de la délégation législative de l'art. 18 al. 2 LAA, le Conseil fédéral a édicté l'art. 28 de l’ordonnance sur l’assurance-accidents du 20 décembre 1982 (OLAA – RS 832.202), qui contient des prescriptions particulières pour l'évaluation de l'invalidité dans des cas spéciaux. L'art.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t>A/1005/2023 - 13/24 - Cette disposition vise deux situations : premièrement, elle s'applique si l'assuré, en raison de son âge, ne reprend plus d'activité lucrative après l'accident (variante I). Les conditions de cette variante sont remplies lorsque l'assuré dispose, au terme du traitement médical, d'une capacité de travail résiduelle au moins partielle, mais ne la met plus en valeur à cause de son âge. C'est notamment le cas si l'assuré atteint l'âge légal de la retraite pendant la période entre l'accident et la fin du traitement médical.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(ATF 148 V 419 consid. 7.2 et les références). 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et les références). Il s'agit d'empêcher l'octroi de rentes d'invalidité qui comporteraient, en fait, une composante de prestation de vieillesse. On rappellera que les rentes ont un caractère viager (cf. toutefois le nouvel art. 20 al. 2ter LAA, en vigueur depuis le 1er janvier 2017). L'âge moyen est de 42 ans ou, du moins, se situe entre 40 et 45 ans, tandis que l'âge avancé est d'environ 60 ans au moment où l’assuré a droit à la rente (arrêt du Tribunal fédéral 8C_166/2016 du 27 janvier 2017 consid. 2.2 et les références) ; il ne s'agit toutefois que d'un ordre de grandeur et non d'une limite absolue. La comparaison des revenus d'un assuré d'âge moyen comprend aussi bien le revenu sans invalidité que le revenu d'invalide (ATF 148 V 419 consid. 7.2 et les références). L'art. 28 al. 4 OLAA s'applique seulement lorsqu'il y a des indices concrets que l'âge de l'assuré revêt une importance prépondérante par rapport aux autres facteurs à l'origine de l'incapacité de gain (arrêt du Tribunal fédéral 8C_507/2022 du 28 novembre 2022 consid. 5.1.3 et les références).</w:t>
      </w:r>
    </w:p>
    <w:p>
      <w:r>
        <w:rPr>
          <w:b/>
        </w:rPr>
        <w:t>E. 12.5</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w:t>
      </w:r>
    </w:p>
    <w:p>
      <w:r>
        <w:t>A/1005/2023 - 14/24 -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12.6</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w:t>
      </w:r>
    </w:p>
    <w:p>
      <w:r>
        <w:t>A/1005/2023 - 15/24 -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12.7</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A/1005/2023 - 16/24 -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w:t>
      </w:r>
    </w:p>
    <w:p>
      <w:r>
        <w:rPr>
          <w:b/>
        </w:rPr>
        <w:t>E. 12.7.1</w:t>
      </w:r>
    </w:p>
    <w:p>
      <w:r>
        <w:t>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8C_507/2022 du 28 novembre 2022 consid. 6.5 et les références). Selon la jurisprudence, l'âge d'un assuré ne constitue pas en soi un facteur de réduction du salaire statistique. Autrement dit, il ne suffit pas de constater qu'un assuré a dépassé la cinquantaine au moment déterminant du droit à la rente pour</w:t>
      </w:r>
    </w:p>
    <w:p>
      <w:r>
        <w:t>A/1005/2023 - 17/24 -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Le Tribunal fédéral a jugé notamment,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du Tribunal fédéral 8C_439/2017 du 6 octobre 2017).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du Tribunal fédéral 8C_608/2021 du 26 avril 2022 consid. 4.3.2 et les références).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 1, l'influence de la durée de service sur le salaire étant peu importante dans cette catégorie d'emplois (arrêt du Tribunal fédéral 8C_280/2022 du 1er mars 2023 consid. 7.2.4). Par ailleurs, le niveau de compétence 1 déterminant en l'espèce ne nécessite pas une bonne maîtrise d'une langue nationale (arrêt du Tribunal fédéral 8C_280/2022 du 1er mars 2023 consid. 7.2.4).</w:t>
      </w:r>
    </w:p>
    <w:p>
      <w:r>
        <w:rPr>
          <w:b/>
        </w:rPr>
        <w:t>E. 12.8</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w:t>
      </w:r>
    </w:p>
    <w:p>
      <w:r>
        <w:t>A/1005/2023 - 18/24 - récente estimation trimestrielle (cf. ATF 143 V 295 consid. 4.1.3 ; arrêt du Tribunal fédéral 8C_659/2022 du 2 mai 2023 consid. 7.2).</w:t>
      </w:r>
    </w:p>
    <w:p>
      <w:r>
        <w:rPr>
          <w:b/>
        </w:rPr>
        <w:t>E. 12.9</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et les références; ATF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w:t>
      </w:r>
    </w:p>
    <w:p>
      <w:r>
        <w:rPr>
          <w:b/>
        </w:rPr>
        <w:t>E. 13.1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A/1005/2023 - 19/24 -</w:t>
      </w:r>
    </w:p>
    <w:p>
      <w:r>
        <w:rPr>
          <w:b/>
        </w:rPr>
        <w:t>E. 13.2</w:t>
      </w:r>
    </w:p>
    <w:p>
      <w:r>
        <w:t>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rPr>
          <w:b/>
        </w:rPr>
        <w:t>E. 14</w:t>
      </w:r>
    </w:p>
    <w:p>
      <w:r>
        <w:t>En l’espèce, l’intimée retient que le recourant a une pleine capacité de travail dans une activité adaptée, ce sans diminution de rendement. Le salaire d’invalide a été fixé sur la base de l’ESS 2020, Table TA1_tirage skill level, niveau 1, « ligne total » pour un homme. Le recourant fait valoir qu’une diminution de rendement doit être admise, étant précisé que l’expert n’a pas motivé sa position sur ce point. Par ailleurs, le revenu d’invalide doit être fixé sur la base de la branche hébergement et restauration, revenu qui doit par ailleurs faire l’objet d’un abattement maximal de 25%, ce qui conduit à un taux d’invalidité de 15%.</w:t>
      </w:r>
    </w:p>
    <w:p>
      <w:r>
        <w:rPr>
          <w:b/>
        </w:rPr>
        <w:t>E. 15</w:t>
      </w:r>
    </w:p>
    <w:p>
      <w:r>
        <w:t>La Cour de céans considère que l’appréciation des preuves permet de trancher l’affaire en l’état, le questionnement de l’expert n’étant en tout état de cause pas susceptible d’apporter des éléments pertinents, de sorte qu’il y sera renoncé.</w:t>
      </w:r>
    </w:p>
    <w:p>
      <w:r>
        <w:rPr>
          <w:b/>
        </w:rPr>
        <w:t>E. 16</w:t>
      </w:r>
    </w:p>
    <w:p>
      <w:r>
        <w:t>S’agissant de la capacité de travail et en particulier de l’absence de diminution de rendement, il sera rappelé que le recourant a été soumis à deux expertises dont les conclusions admettent une pleine capacité de travail dans une activité adaptée, ce sans diminution de rendement. Dans son rapport du 24 novembre 2022, l’expert note une amélioration depuis l’expertise de 2021 et constate que le recourant présente une limitation modérée de l’amplitude de l’épaule gauche avec douleurs à l’effort et lors de mouvements répétitifs de l’épaule et du membre supérieur gauche. La Cour de céans constate que les rapports d’expertise reposent sur une étude fouillée, ont été établis en pleine connaissance du dossier et que l’appréciation de l’expert est motivée et convaincante, de sorte que les rapports d’expertise des 30 décembre 2021 et 24 novembre 2022 peuvent se voir reconnaître pleine valeur probante, ce qui n’est pas contesté par le recourant, seul le point du rendement étant remis en question. Il sied de relever que, dans le cadre de la procédure administrative, l’intimée a transmis au recourant les rapports d’expertise sans que ce dernier n’en conteste les conclusions avant la procédure de recours. Le recourant qui a repris son activité habituelle non adaptée à ses limitations peut l’exercer à 50% sans qu’il n’allègue de diminution de rendement depuis le 1er octobre 2021, comme l’a déterminé l’expert.</w:t>
      </w:r>
    </w:p>
    <w:p>
      <w:r>
        <w:t>A/1005/2023 - 20/24 - En effet, dans ces écritures, il indique uniquement qu’après les sollicitations de son épaule gauche, alors qu’il est droitier et qu’implique son activité habituelle, des douleurs sont présentes de sorte qu’il ne pourrait pas continuer à travailler le reste de la journée. En ce sens, il confirme dès lors les conclusions de l’expert et ne fait pas valoir de diminution de rendement dans une activité certes à temps partielle, mais non respectueuse de ses limitations. On ne voit donc pas pourquoi l’exercice d’une activité respectant ses limitations, étant précisé que l’atteinte concerne l’épaule gauche, alors que le recourant est droitier, entraînerait quant à elle une diminution de rendement. En outre, le recourant n’a produit aucun document médical attestant d’une diminution de rendement. La Cour de céans retiendra dès lors que le recourant présente une capacité pleine et entière dans une activité adaptée.</w:t>
      </w:r>
    </w:p>
    <w:p>
      <w:r>
        <w:rPr>
          <w:b/>
        </w:rPr>
        <w:t>E. 17.1</w:t>
      </w:r>
    </w:p>
    <w:p>
      <w:r>
        <w:t>En ce qui concerne le taux d’invalidité, seul le revenu d’invalide est contesté par le recourant, de sorte qu’il y a lieu d’examiner s’il a été établi de manière conforme aux principes jurisprudentiels en la matière. En tant que de besoin, il sera précisé que le revenu sans invalidité retenu a été annoncé par l’employeur dans la déclaration de sinistre et correspond au salaire perçu par le recourant depuis plusieurs années, ce qui est attesté par l’extrait du compte individuel. Ce dernier permet de constater que le revenu du recourant est resté identique depuis 2016. À cela s’ajoute que le recourant, représenté, continue à travailler pour le même employeur à 50% sans avoir fait état de modification quant à la base salariale. L’intimé a fixé le revenu mensuel d’invalide à CHF 5'484.80, soit CHF 65'815.10 par an. En ce qui concerne l’année de référence des tableaux statistiques à appliquer, l’ESS 2020 a été publiée le 23 août 2022. Dès lors qu’au moment où la décision litigieuse a été rendue, le 17 février 2023, l’intimée disposait des données 2020, le salaire avec invalidité doit être déterminé sur la base de l'ESS 2020 (arrêt du Tribunal fédéral 8C_655/2016 du 4 août 2017 consid. 6.3) et être indexé jusqu’à la date de l’ouverture (éventuel) du droit à la rente, soit le 1er avril 2023 (ATF 129 V 222 consid. 4.1 et 4.2). Ainsi, il y a effectivement lieu de se référer au tableau TA1_tirage_skill_level de l'ESS 2020, dont il ressort que le revenu statistique tiré d'activités physiques ou manuelles simples dans le secteur privé s'élève à CHF 5'261.- pour un homme</w:t>
      </w:r>
    </w:p>
    <w:p>
      <w:r>
        <w:t>A/1005/2023 - 21/24 - (niveau 1, total, part au 13ème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Le recourant fait valoir qu’il n’y a pas lieu de se référer à la ligne « total » dans son cas, mais de prendre en compte uniquement les revenus relatifs à la branche hébergement et restauration vu qu’il a toujours travaillé dans ce domaine. Ce grief est infondé. En effet, conformément à la jurisprudence précitée, le recourant n’exploite pas complètement sa capacité de travail en ayant repris à 50% son activité habituelle, puisque cette dernière peut être augmentée à 100% en cas de respect de ses limitations. Il est donc exigible qu’il change d’activité. À cela s’ajoute que, bien que le recourant ait effectivement travaillé de nombreuses années dans le domaine de la restauration, une activité dans un autre domaine entre en ligne de compte, ce qu’il a d’ailleurs admis dans le cadre de son opposition en invoquant par exemple les domaines de service administratif ou de services personnels. À ce stade, il sied de préciser que dans son rapport d’expertise du 30 décembre 2021, l’expert notait qu’une activité de petite manutention était par exemple adaptée. Il sied de rappeler que la jurisprudence a fixé que la valeur centrale s’applique notamment aux assurés qui ne peuvent plus accomplir leur ancienne activité car elle est physiquement trop astreignante, mais qu’ils conservent néanmoins une capacité de travail importante dans des travaux légers puisqu’elle recouvre un large éventail d’activité variées et non qualifiées, ce qui est le cas du recourant. Dès lors, c’est à juste titre que l’intimée a pris en compte la valeur centrale.</w:t>
      </w:r>
    </w:p>
    <w:p>
      <w:r>
        <w:rPr>
          <w:b/>
        </w:rPr>
        <w:t>E. 17.2</w:t>
      </w:r>
    </w:p>
    <w:p>
      <w:r>
        <w:t>Le recourant conclut à un abattement maximal de 25% et à l’application de l’article 28 al. 4 OLAA. En ce qui concerne l’art. 28 al. 4 OLAA, ce dernier ne trouve pas application en l’espèce. En effet, il s’applique uniquement face à des indices concrets que l'âge de l'assuré revêt une importance prépondérante par rapport aux autres facteurs à l'origine de l'incapacité de gain.</w:t>
      </w:r>
    </w:p>
    <w:p>
      <w:r>
        <w:t>A/1005/2023 - 22/24 - Or, questionné sur ce point, l’expert a répondu que la capacité travail du recourant aurait été identique même s’il avait été plus jeune, le 50% mentionné faisant référence à l’activité habituelle. Le recourant n’apporte aucun élément ou indice permettant de retenir que son âge revêt une importance prépondérante dans son incapacité de gain, étant rappelé que son employeur a accepté qu’il reprenne son poste et ce même à un taux réduit, de sorte que son âge n’est manifestement pas un frein à l’exploitation de sa capacité de travail. S’agissant de l’abattement, la Cour de céans rejoint très partiellement l’argumentation du recourant. Conformément à la jurisprudence en la matière, les activités du niveau de compétence 1 ne requièrent ni formation, ni expérience professionnelle spécifique, elles sont par ailleurs disponibles indépendamment de l’âge. Dans ce contexte, les années de services ont peu d’importance. Par ailleurs, vu le large éventail d’activité variées et non qualifiées qui sont incluses dans le niveau de compétence 1, l’accessibilité du recourant à des activités adaptées et respectueuse de ses limitations est garanti. Le recourant réside par ailleurs depuis de nombreuses années en Suisse et dispose d’un permis B. Par ailleurs, les modifications des dispositions en matière d’assurance-invalidité est sans pertinence pour le cas d’espèce. Toutefois, afin de tenir compte de l’ensemble des spécificités du cas du recourant, dont le cumul peut avoir une influence sur le revenu, la Cour de céans considère qu’un abattement de 5% aurait dû être accordé.</w:t>
      </w:r>
    </w:p>
    <w:p>
      <w:r>
        <w:rPr>
          <w:b/>
        </w:rPr>
        <w:t>E. 17.3</w:t>
      </w:r>
    </w:p>
    <w:p>
      <w:r>
        <w:t>Comme relevé précédemment le revenu ressortant de l’ESS 2020 a été adapté à l’horaire moyen, toutefois, force est de constater qu’il n’a pas été indexé à l’année déterminante pour l’ouverture potentielle de la rente, soit 2023, il convient dès lors de le rectifier puis d’en déduire l’abattement de 5%. Selon le tableau T1.93 publié par l'OFS, les salaires nominaux des hommes ont évolué comme suit : - 0.7% en 2021, et + 1.1% en 2022 (disponible sur : https:// www.bfs.admin.ch/bfs/fr/home/statistiques/travail-remuneration/salaires-revenus- cout-travail/indice-salaires/par-sexe.assetdetail.24745533.html). Selon l'estimation trimestrielle de l'évolution des salaires nominaux publiée par l'OFS le 31 mai 2023 (disponible sur : https :// www .bfs.admin.ch /bfs/fr/home/statistiques/travail-remuneration/salaires-revenus-cout-travail/indice- salaires/estimation-trimestrielle.assetdetail.25305058.html), soit la plus récente au moment déterminant de la décision litigieuse du 17 juillet 2023 (cf. arrêt du Tribunal fédéral 8C_659/2022 du 2 mai 2023 consid. 7.2), les salaires nominaux ont augmenté de 1.8% en 2023.</w:t>
      </w:r>
    </w:p>
    <w:p>
      <w:r>
        <w:t>A/1005/2023 - 23/24 - Il en résulte un revenu de CHF 67'262.60 (65'815.11 – 460.71 en 2021 = 65'354.40 + 718.90 en 2022 = 66'073.30 + 1'189.30 en 2023 = 67'262.60). Après prise en compte de l’abattement fixé en 5%, il en résulte un revenu d’invalide de 63'899.47 (67'262.60 – 3'363.13). En conséquence, le revenu d'invalide étant supérieur au revenu de valide (CHF 52'000.-), le recourant ne subit aucune perte de gain, de sorte qu'il n'a pas droit à une rente d'invalidité de l'assurance-accidents.</w:t>
      </w:r>
    </w:p>
    <w:p>
      <w:r>
        <w:rPr>
          <w:b/>
        </w:rPr>
        <w:t>E. 18</w:t>
      </w:r>
    </w:p>
    <w:p>
      <w:r>
        <w:t>Au vu de ce qui précède, le recours est rejeté.</w:t>
      </w:r>
    </w:p>
    <w:p>
      <w:r>
        <w:rPr>
          <w:b/>
        </w:rPr>
        <w:t>E. 19</w:t>
      </w:r>
    </w:p>
    <w:p>
      <w:r>
        <w:t>Le recourant, qui succombe, n'a pas droit à des dépens (art. 61 let. g LPGA a contrario).</w:t>
      </w:r>
    </w:p>
    <w:p>
      <w:r>
        <w:rPr>
          <w:b/>
        </w:rPr>
        <w:t>E. 20</w:t>
      </w:r>
    </w:p>
    <w:p>
      <w:r>
        <w:t>Pour le surplus, la procédure est gratuite (art. 61 let. fbis LPGA a contrario).</w:t>
      </w:r>
    </w:p>
    <w:p>
      <w:r>
        <w:t>A/1005/2023 - 24/24 -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