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ATAS/163/2019 vom 25. Februar 2019</w:t>
      </w:r>
    </w:p>
    <w:p>
      <w:r>
        <w:t>GE Cour de justice, 2019-02-25, FR</w:t>
      </w:r>
    </w:p>
    <w:p>
      <w:r>
        <w:rPr>
          <w:b/>
        </w:rPr>
        <w:t xml:space="preserve">Quelle: </w:t>
      </w:r>
      <w:r>
        <w:t>https://mcp.opencaselaw.ch/entscheid/ge_gerichte_ATAS_163_2019</w:t>
      </w:r>
    </w:p>
    <w:p>
      <w:r>
        <w:t>FR: GE_GERICHTE ATAS/163/2019 du 25 février 2019</w:t>
      </w:r>
    </w:p>
    <w:p>
      <w:r>
        <w:t>IT: GE_GERICHTE ATAS/163/2019 del 25 febbraio 2019</w:t>
      </w:r>
    </w:p>
    <w:p>
      <w:pPr>
        <w:pStyle w:val="Heading2"/>
      </w:pPr>
      <w:r>
        <w:t>Erwägungen</w:t>
      </w:r>
    </w:p>
    <w:p>
      <w:r>
        <w:rPr>
          <w:b/>
        </w:rPr>
        <w:t>E. 27</w:t>
      </w:r>
    </w:p>
    <w:p>
      <w:r>
        <w:t>Le 26 novembre 2018, le recourant a observé qu’il prenait note avec satisfaction des conclusions de l’expertise judiciaire, laquelle soulevait avec acuité la question de l’indépendance des experts nommés par l’OAI.</w:t>
      </w:r>
    </w:p>
    <w:p>
      <w:r>
        <w:rPr>
          <w:b/>
        </w:rPr>
        <w:t>E. 28</w:t>
      </w:r>
    </w:p>
    <w:p>
      <w:r>
        <w:t>Le 28 novembre 2018, le recourant a encore observé que l’expert judiciaire avait émis des critiques extrêmement sévères et très substantielle à l’égard de l’expertise de la Dresse F_______, lesquelles n’étaient pas remises en question par l’OAI ; le SMR rejoignait même la conclusion de l’expertise judiciaire quant à la présence d’une incapacité de travail totale dans son ancienne activité alors que la Dresse F_______ l’avait admise. Compte tenu de manquements aussi graves dans la réalisation d’un mandat d’expertise administrative confié par l’assurance invalidité, il était parfaitement légitime que le Dr K_______ s’enquiert des compétences des premiers médecins du même SMR qui estimait jusqu’à présent que le rapport de la Dresse F_______ devait se voir accorder une pleine valeur probante. Une telle appréciation de la part de ces médecins du SMR s’avérant d’une telle partialité et tellement insoutenable, il n’était pas non plus étonnant que l’expert judiciaire puisse douter de leur compétence. Quant au caractère primaire ou secondaire de la prétendue consommation d’alcool et de cannabis, il convenait d’emblée de relever qu’il n’en avait jamais été question jusqu’à présent. Ni la Dresse F_______, ni les médecins du SMR ne s’étaient interrogés sur cet aspect du dossier. A cela s’ajoutait que s’agissant du trouble lié à l’usage de l’alcool, il s’agissait d’antécédents ; la Dresse F_______ avait également retenu que l’assuré ne consommait plus d’alcool. Quant à l’usage du cannabis, il était qualifié de léger. En tout état de cause, les troubles massifs de la sphère psychique constatés dans l’expertise étaient manifestement sans lien avec une quelconque addiction. Force était de constater</w:t>
      </w:r>
    </w:p>
    <w:p>
      <w:r>
        <w:t>A/210/2018 - 16/31 - que pour masquer les graves manquements de la Dresse F_______, respectivement des premiers médecins du SMR, l’OAI tentait par tous les moyens de discréditer le travail réalisé par le Dr K_______.</w:t>
      </w:r>
    </w:p>
    <w:p>
      <w:r>
        <w:rPr>
          <w:b/>
        </w:rPr>
        <w:t>E. 29</w:t>
      </w:r>
    </w:p>
    <w:p>
      <w:r>
        <w:t>Le 22 janvier 2019, le recourant a communiqué un rapport du Dr D_______ du 18 janvier 2018 (sic) en relevant qu’il attestait qu’il n’avait jamais présenté de dépendance à l’alcool et a souligné le fait que ce médecin avait indiqué le 22 février 2018 que sa consommation occasionnelle de cannabis était secondaire notamment à l’hyperactivité neurovégétative.</w:t>
      </w:r>
    </w:p>
    <w:p>
      <w:r>
        <w:rPr>
          <w:b/>
        </w:rPr>
        <w:t>E. 30</w:t>
      </w:r>
    </w:p>
    <w:p>
      <w:r>
        <w:t>Le rapport du 18 janvier 2018 (sic) du Dr D_______ a relevé que, dans le cadre de la psychothérapie débutée le 30 janvier 2014, l’assuré n’avait jamais présenté une problématique liée à une consommation pathologique d’alcool, ni une dépendance à l’alcool. Durant la période de 1997 – 1998, l’assuré était passé par une période très difficile. A la suite de ses missions au B_______ et sa séparation de son épouse, il avait consommé du vin régulièrement. Pour cette raison, son permis lui avait été retiré le 15 octobre 1998 pour une période de seize mois. Depuis cette période, il n’avait jamais repris la consommation d’alcool. En ce qui concernait la consommation de cannabis, il avait débuté une consommation à titre thérapeutique disait-il en 2014. Cette consommation était épisodique et se passait uniquement la nuit. Il s’agissait d’une consommation de quatre à cinq joints par mois, afin de se soulager.</w:t>
      </w:r>
    </w:p>
    <w:p>
      <w:r>
        <w:rPr>
          <w:b/>
        </w:rPr>
        <w:t>E. 31</w:t>
      </w:r>
    </w:p>
    <w:p>
      <w:r>
        <w:t>A la demande de la chambre de céans, l’expert judiciaire a communiqué sa demande de renseignements au SMR (courriel du 2 octobre 2018) et la réponse du directeur de celui-ci (courriel du 5 octobre 2018).</w:t>
      </w:r>
    </w:p>
    <w:p>
      <w:r>
        <w:rPr>
          <w:b/>
        </w:rPr>
        <w:t>E. 32</w:t>
      </w:r>
    </w:p>
    <w:p>
      <w:r>
        <w:t>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A/210/2018 - 17/31 - 3.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du recourant à une rente entière d’invalidité au-delà du 31 décembre 2016.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A/210/2018 - 18/31 - 7.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w:t>
      </w:r>
    </w:p>
    <w:p>
      <w:r>
        <w:t>A/210/2018 - 19/31 -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w:t>
      </w:r>
    </w:p>
    <w:p>
      <w:r>
        <w:t>A/210/2018 - 20/31 -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A/210/2018 - 21/31 -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w:t>
      </w:r>
    </w:p>
    <w:p>
      <w:r>
        <w:t>A/210/2018 - 22/31 - qu'elles proviennent de médecins n'ayant pas une qualification spécialisée ou pour d'autres raisons (voir ATF 134 V 231 consid. 5.1; ATF 125 V 351 consid. 3a). 9.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A/210/2018 - 23/31 -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w:t>
      </w:r>
    </w:p>
    <w:p>
      <w:r>
        <w:t>A/210/2018 - 24/31 -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A/210/2018 - 25/31 - champ socioculturel ou psychosocial, il n'y a pas d'atteinte à la santé à caractère invalidant (ATF 127 V 294 consid. 5a in fine).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14. En l’occurrence, le rapport d’expertise judiciaire, fondé sur un examen du recourant (d’une durée de cinq heures trente), une analyse de la médication et des marqueurs du cannabis et de l’alcool, un entretien avec le psychiatre traitant, des tests d’évaluation de la dépression, comprenant une anamnèse personnelle, familiale et professionnelle fouillée, une description de la vie quotidienne du recourant, les plaintes de celui-ci, posant des diagnostics et des limitations fonctionnelles clairs et solidement motivés, expliquant les divergences avec l’expertise de la Dresse F_______ et, finalement, exposant de façon convaincante la présence d’une incapacité de travail totale du recourant dans toute activité depuis novembre 2013, remplit les critères jurisprudentiels précités pour qu’il lui soit reconnue une pleine valeur probante.</w:t>
      </w:r>
    </w:p>
    <w:p>
      <w:r>
        <w:t>A/210/2018 - 26/31 - Selon les constatations et conclusions de ce rapport, le recourant présente une incapacité de travail totale depuis novembre 2013, en raison de limitations fonctionnelles en lien avec les diagnostics de trouble dépressif caractérisé, récurrent de gravité actuelle moyenne, de trouble panique, d’agoraphobie et de personnalité limite décompensée. En particulier, l’expertise judiciaire a exclu que l’état de santé du recourant se soit amélioré dès octobre 2016, comme retenu par l’intimé. Les critiques émises par l’intimé et le SMR ne sont pas à même de remettre en cause la valeur probante de l’expertise judiciaire.</w:t>
      </w:r>
    </w:p>
    <w:p>
      <w:r>
        <w:t>a. Le SMR estime tout d’abord que l’expert judiciaire n’a, à tort, pas analysé si la consommation de substances était primaire ou secondaire ; selon le SMR, cette consommation pourrait avoir provoqué l’épisode dépressif moyen, lequel était lui- même en partie responsable de la décompensation du trouble de la personnalité, de sorte qu’en cas de consommation primaire, aucun de ces deux diagnostics ne serait du ressort de l’AI.</w:t>
      </w:r>
    </w:p>
    <w:p>
      <w:r>
        <w:t>A cet égard, l’expert judiciaire, tout en relevant qu’il n’était pas exclu qu’un déni de consommation rende difficile l’appréciation précise du trouble, a souligné que l’analyse de la CDT était dans les normes, tout comme les enzymes hépatiques, ce qui confirmait son impression que la problématique alcoolique n’était pas en avant- scène (expertise judiciaire p. 56) ; l’expert judiciaire a relevé que si le recourant semblait banaliser la consommation passée d’alcool, il paraissait authentique en ce qui concernait la consommation actuelle (expertise judiciaire p. 50) ; une certaine aversion à l’alcool semblait d’ailleurs liée au souvenir du père alcoolique ; l’exclusion du permis de conduire était, selon le recourant, liée à la médication psychotrope administrée ; elle n’était en tous les cas pas prouvée être en lien avec une consommation d’alcool (expertise judiciaire p. 56). Quant aux limitations fonctionnelles, elles ne relèvent pas d’une problématique liée à une consommation d’alcool ; tout au plus, l’expert mentionne un risque de rechute alcoolique en cas d’exposition à un stress émotionnel significatif (expertise judiciaire p. 64).</w:t>
      </w:r>
    </w:p>
    <w:p>
      <w:r>
        <w:t>S’agissant de la consommation de cannabis, l’expert judiciaire relève qu’elle se limite à deux / trois joints par mois, en soirée, afin de mieux dormir, sans non plus qu’aucune limitation fonctionnelle n’ait été retenue relativement à cette consommation (expertise judiciaire p. 55/56). Par ailleurs, le Dr D_______, dans son rapport médical du 18 janvier 2018 (sic), a souligné qu’il n’avait jamais constaté de consommation pathologique d’alcool chez le recourant depuis son suivi, débuté en janvier 2014 et que la consommation de cannabis était épisodique, la nuit, ce qui confirme, si besoin est, les constatations et conclusions de l’expert judiciaire. Dans ces conditions, l’analyse du caractère primaire ou secondaire des consommations évoquées n’est pas pertinente.</w:t>
      </w:r>
    </w:p>
    <w:p>
      <w:r>
        <w:t>Enfin, il y a lieu de relever que le SMR ne conteste pas la présence chez le recourant d’un état dépressif moyen et d’un trouble de la personnalité décompensé, la seule critique émise au sujet de ces deux diagnostics à l’égard de l’expertise étant</w:t>
      </w:r>
    </w:p>
    <w:p>
      <w:r>
        <w:t>A/210/2018 - 27/31 - le défaut d’analyse du caractère primaire ou secondaire des consommations du recourant.</w:t>
      </w:r>
    </w:p>
    <w:p>
      <w:r>
        <w:t>b. Le SMR reproche ensuite à l’expert judiciaire de ne pas avoir procédé à une évaluation médicale stricte, dès lors qu’il aurait pris en compte un manque de motivation du recourant pour une réhabilitation, et des facteurs extra médicaux (âge, manque de formation), lesquels n’étaient pas du ressort de l’AI. Il a estimé qu’il convenait de demander à l’expert judiciaire si le recourant pouvait travailler dans un emploi simple, avec peu d’interactions personnelles, dans une petite équipe.</w:t>
      </w:r>
    </w:p>
    <w:p>
      <w:r>
        <w:t>A cet égard, l’expert judiciaire a relevé que le recourant présentait un désarroi psychique significatif, témoin d’un effondrement au niveau de la personnalité (expertise judiciaire p. 52) ; des décompensations thymiques majeures faisaient partie des antécédents (1999 et 2011, 2013) et la crise actuelle était de gravité moyenne, avec néanmoins une phase qualifiée d’équivalent suicidaire en 2017 (cessation du traitement et état somatique grave, avec un coma ; expertise judiciaire p. 53-54) ; le recourant souffrait de symptômes neurovégétatifs sporadiques qui convergeaient toutefois vers de véritables attaques de panique déclenchées par toute augmentation, même très légère, du degré d’anxiété (expertise judiciaire p. 54-55), ainsi que d’angoisses entrainant un évitement de files d’attente, grandes surfaces, transports publics ou ascenseurs. Le recourant était ainsi limité dans ses déplacements et ses contacts avec la foule ; il présentait une impulsivité, une susceptibilité relationnelle avec de l’agressivité (explosivité, avec des bagarres et des altercations à répétition), un repli social, un évitement du travail en équipe, une baisse de la motivation et une difficulté à adhérer à un emploi en raison d’un trouble identitaire, un faible seuil de frustration émotionnelle, des troubles de la concentration, une distraction, une immaturité, une labilité de l’humeur en présence de stress émotionnel même mineur et un risque de rechute alcoolique en cas de stress émotionnel significatif.</w:t>
      </w:r>
    </w:p>
    <w:p>
      <w:r>
        <w:t>Ces limitations fonctionnelles motivent de façon convaincante l’incapacité totale de travailler du recourant, également dans une activité simple avec peu d’interactions interpersonnelles, dans une petite équipe, telle qu’invoquée par le SMR. Les considérations de l’expert quant à la difficulté pour une personne de 50 ans, atteinte psychiquement et sans qualifications professionnelles, d’accéder au marché de l’emploi (expertise judiciaire p. 70) ne remplacent pas l’évaluation strictement médicale effectuée par l’expert judiciaire pour motiver l’incapacité de travail du recourant. Celle-ci n’est ainsi pas justifiée, contrairement aux affirmations du SMR, par des facteurs extra-médicaux mais bien par des limitations fonctionnelles clairement établies, les facteurs de l’âge et de l’absence de formation étant cités comme élément aggravant.</w:t>
      </w:r>
    </w:p>
    <w:p>
      <w:r>
        <w:t>c. L’intimé estime que l’expert judiciaire n’est pas neutre et impartial.</w:t>
      </w:r>
    </w:p>
    <w:p>
      <w:r>
        <w:t>A/210/2018 - 28/31 -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Jacques MEINE, L'expert et l'expertise - critères de validité de l'expertise médicale, p. 1 ss, ainsi que François PAYCHERE, Le juge et l'expert - plaidoyer pour une meilleure compréhension, page 133 ss, in : L'expertise médicale, éditions Médecine &amp; Hygiène, 2002; également ATF 125 V 352 consid. 3a, 122 V 160 consid. 1c et les références ; arrêt du Tribunal fédéral du 13 juin 2005 - K 33/04). En l’occurrence, contrairement à l’avis de l’intimé, on ne saurait considérer que le fait de se renseigner sur les titres des médecins du SMR, lesquels n’ont, par ailleurs, pas effectué l’expertise psychiatrique dont l’expert judiciaire s’écarte, implique de la part de celui-ci un manque de neutralité ou d’impartialité, même si l’intimé a pu estimer la démarche intrusive ; il en est de même de la remarque de l’expert judiciaire selon laquelle il n’est pas étonnant que le médecin engagé par l’AI qualifie l’expertise de la Dresse F_______ de convaincante, dès lors que cette phrase se rapporte au fait que ledit médecin, comme tous ceux travaillant au SMR (selon les informations reçues par l’expert) ne disposait pas d’une spécialisation en psychiatrie et psychothérapie alors qu’il se prononçait sur la valeur probante d’une expertise psychiatrique ; il ne s’agit pas d’un jugement de valeur dépréciatif de la part de l’expert judiciaire, mais d’une position de principe de celui-ci selon laquelle une expertise psychiatrique ne peut être valablement appréciée par un médecin non psychiatre, qui plus est non titulaire du titre d’expert SIM. Or, même si cet avis n’est pas reconnu par la jurisprudence du Tribunal fédéral (arrêt 9C 711/2010 du 18 mai 2011), il ne saurait être qualifié de dépréciatif ou d’impartial. Enfin, l’expert judiciaire s’est écarté des rapports d’expertise de la Dresse F_______, en les critiquant de façon motivée et circonstanciée sur plusieurs points. Il a relevé que la Dresse F_______ avait mentionné au status plusieurs éléments qui confortaient les diagnostics posés retenus par les psychiatres traitants depuis de nombreuses années ; compte tenu du traitement en cours constaté par la Dresse F_______, celle-ci aurait à tout le moins dû mentionner un diagnostic d’état dépressif caractérisé en rémission complète, au lieu d’indiquer l’absence de tout</w:t>
      </w:r>
    </w:p>
    <w:p>
      <w:r>
        <w:t>A/210/2018 - 29/31 - diagnostic ; il a relevé que l’anamnèse était lacunaire, sans mention de la décompensation de 1999, sans analyse et intégration des données ; il a souligné que, de façon contradictoire, la Dresse F_______ avait mentionné chez le recourant un trouble de la personnalité impliquant la nécessité d’une reprise professionnelle dans un milieu contenant, rassurant et sécurisant (complément d’expertise F_______ du 24 avril 2017), et avait aussi relevé des éléments en faveur d’un tel trouble (expertise F_______ p. 5) mais avait curieusement nié tout diagnostic psychiatrique et toute limitation fonctionnelle. La Dresse F_______ s’était ainsi montrée excessivement optimiste quant à l’existence de ressources adaptatives résiduelles ; elle n’avait pas analysé l’impact de la consommation du cannabis, d’une éventuelle consommation d’alcool et de la médication psychotrope ; elle avait de façon peu claire refusé un entretien avec le psychiatre traitant, alors même qu’elle s’écartait complètement des constatations de celui-ci. Compte tenu de ces éléments, l’expert judiciaire a considéré que l’expertise de la Dresse F_______ n’avait pas de valeur probante. Contrairement à l’avis de l’intimé, l’expert judiciaire n’a pas émis de considérations dépréciatives à l’égard de la Dresse F_______ mais s’est limité à relever les lacunes et contradictions de l’expertise de celle-ci, étant par ailleurs relevé que ni l’intimé, ni le SMR n’ont contesté les critiques formulées par l’expert judiciaire à l’égard du rapport de la Dresse F_______. 15. Au vu des conclusions de l’expertise judiciaire, l’intimé ne pouvait retenir une amélioration de l’état de santé du recourant dès octobre 2016, l’incapacité de travail totale du recourant perdurant au-delà de cette date, de sorte que la rente entière d’invalidité allouée depuis le 1er septembre 2015 est due postérieurement au 31 décembre 2016. Partant, le recours sera admis et la décision litigieuse réformée en ce sens. 16. a.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w:t>
      </w:r>
    </w:p>
    <w:p>
      <w:r>
        <w:t>A/210/2018 - 30/31 -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b. En l’occurrence, le rapport d’expertise du 20 octobre 2016 de la Dresse F_______ comprenait des lacunes et contradictions que le complément d’expertise du 24 avril 2017, requis par l’intimé n’a ni comblées ni levées ; au contraire, ce dernier a mis en évidence les contradictions existant entre le constat, d’une part, d’un trouble de la personnalité présent chez le recourant et limitatif, dans le sens qu’il impliquait, selon l’experte, des mesures particulières dans le cadre de l’exigibilité d’une reprise d’emploi et, d’autre part, l’absence totale de diagnostic psychiatrique et de limitations fonctionnelles soulignée par l’experte. Dans ces conditions, une surexpertise était nécessaire, de sorte qu’il convient, conformément à la jurisprudence précitée, de mettre les frais d’expertise de CHF 14'078.- à la charge de l’intimé. 17. Vu l’issue du litige, une indemnité de CHF 4’000.-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A/210/2018 - 31/31 -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