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ATAS/163/2016 vom 25. Februar 2016</w:t>
      </w:r>
    </w:p>
    <w:p>
      <w:r>
        <w:t>GE Cour de justice, 2016-02-25, FR</w:t>
      </w:r>
    </w:p>
    <w:p>
      <w:r>
        <w:rPr>
          <w:b/>
        </w:rPr>
        <w:t xml:space="preserve">Quelle: </w:t>
      </w:r>
      <w:r>
        <w:t>https://mcp.opencaselaw.ch/entscheid/ge_gerichte_ATAS_163_2016</w:t>
      </w:r>
    </w:p>
    <w:p>
      <w:r>
        <w:t>FR: GE_GERICHTE ATAS/163/2016 du 25 février 2016</w:t>
      </w:r>
    </w:p>
    <w:p>
      <w:r>
        <w:t>IT: GE_GERICHTE ATAS/163/2016 del 25 febbraio 2016</w:t>
      </w:r>
    </w:p>
    <w:p>
      <w:pPr>
        <w:pStyle w:val="Heading2"/>
      </w:pPr>
      <w:r>
        <w:t>Erwägungen</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60 de la loi fédérale du 6 octobre 2000 sur la partie générale du droit des assurances sociales (LPGA) prévoit un délai de recours de trente jours dès la notification de la décision attaquée ; Que selon l’art. 60 al. 2 LPGA, les art. 38 à 41 sont applicables par analogie ; Que le délai, compté par jours ou par mois, commence à courir le lendemain de la communication (art. 38 al. 1 LPGA) ;</w:t>
      </w:r>
    </w:p>
    <w:p>
      <w:r>
        <w:t>A/387/2016 - 3/5 -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 Qu’il s’agit là de dispositions impératives auxquelles il ne peut être dérogé (Jurisprudence des autorités administratives de la Confédération [JAAC] 60/1996, consid. 5.4, p. 367 ; ATF 119 II 87 consid. 2a; ATF 112 V 256 consid. 2a) ; Qu’en l’espèce, le délai de recours a commencé à courir le lendemain de la notification, soit le mercredi 14 octobre 2015 au plus tôt et qu’il est donc venu à échéance le lundi 16 novembre 2015 au plus tôt ; Que le recours n’a été déposé à la poste qu’en date du 26 janvier 2016, de sorte qu’il est manifestement intervenu tardivement, même si la date exacte de la notification n’a pas été établie ; Que le recourant ne le conteste pas au demeurant puisqu’il admet avoir agi tardivement ; Que le motif de restitution de délai invoqué par le recourant, soit le fait que son mandataire devait se pencher sur le dossier afin d’éclaircir la situation, ne saurait être considéré comme un empêchement valable au sens de la loi ; Qu’au demeurant, rien n’empêchait l’assuré d’agir pour sauvegarder ses droits d’autant que le motif de recours finalement invoqué n’a rien à voir avec le calcul au fond des cotisations ; Que le recours déposé en date du 26 janvier 2016 doit dès lors être déclaré irrecevable pour cause de tardiveté ; Que la Cour relève au surplus qu’au fond, le recours aurait quoi qu’il en soit été manifestement mal fondé ;</w:t>
      </w:r>
    </w:p>
    <w:p>
      <w:r>
        <w:t>A/387/2016 - 4/5 - Qu’en effet, le prélèvement d’intérêts moratoires constitue une obligation légale qui ne poursuit aucun but punitif :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w:t>
      </w:r>
    </w:p>
    <w:p>
      <w:r>
        <w:t>A/387/2016 - 5/5 -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