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ATAS/163/2010 vom 11. Februar 2010</w:t>
      </w:r>
    </w:p>
    <w:p>
      <w:r>
        <w:t>GE Cour de justice, 2010-02-11, FR</w:t>
      </w:r>
    </w:p>
    <w:p>
      <w:r>
        <w:rPr>
          <w:b/>
        </w:rPr>
        <w:t xml:space="preserve">Quelle: </w:t>
      </w:r>
      <w:r>
        <w:t>https://mcp.opencaselaw.ch/entscheid/ge_gerichte_ATAS_163_2010</w:t>
      </w:r>
    </w:p>
    <w:p>
      <w:r>
        <w:t>FR: GE_GERICHTE ATAS/163/2010 du 11 février 2010</w:t>
      </w:r>
    </w:p>
    <w:p>
      <w:r>
        <w:t>IT: GE_GERICHTE ATAS/163/2010 del 11 febbraio 2010</w:t>
      </w:r>
    </w:p>
    <w:p>
      <w:pPr>
        <w:pStyle w:val="Heading2"/>
      </w:pPr>
      <w:r>
        <w:t>Erwägungen</w:t>
      </w:r>
    </w:p>
    <w:p>
      <w:r>
        <w:rPr>
          <w:b/>
        </w:rPr>
        <w:t>E. 1</w:t>
      </w:r>
    </w:p>
    <w:p>
      <w:r>
        <w:t>Conformément à l'art. 56V al. 1 let. a ch. 2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Étant donné que les faits juridiquement déterminants se sont déroulés antérieure- ment et postérieurement à l’entrée en vigueur de la LPGA, le litige doit être exami- né au regard de l'ancien droit pour la période jusqu'au 31 décembre 2002 (LAI) et en fonction de la LPGA pour les prestations postérieures au 31 décembre 2002 (cf. ATF 130 V 446 consid. 1 et ATF 129 V 4 consid. 1.2), étant précisé que les modifications légales contenues dans la LPGA constituent, en règle générale, une version formalisée dans la loi, de la jurisprudence relative aux notions correspon- 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 trées en vigueur le 1er janvier 2004 (RO 2003 3852), sont régies par le même prin- cipe et sont donc applicables s’agissant du droit aux prestations dès le 1er janvier 2004. Il en va de même des modifications de la LAI du 6 octobre 2006 (5ème révi- sion de la LAI), entrées en vigueur le 1er janvier 2008, par conséquent applicables au droit aux prestations dès le 1er janvier 2008.</w:t>
      </w:r>
    </w:p>
    <w:p>
      <w:r>
        <w:rPr>
          <w:b/>
        </w:rPr>
        <w:t>E. 3</w:t>
      </w:r>
    </w:p>
    <w:p>
      <w:r>
        <w:t>Le délai de recours est de 30 jours (art. 60 al. 1 LPGA). La décision du 14 mai 2009 a été reçue par la recourante le 19 mai 2009 de sorte que le recours du 18 juin 2008 a été formé en temps utile, le dernier jour du délai (art. 39 al. 1 et 60 al. 2 LPGA). Interjeté dans la forme et le délai prévus par la loi, le recours est recevable, en vertu des art. 56 et ss LPGA.</w:t>
      </w:r>
    </w:p>
    <w:p>
      <w:r>
        <w:rPr>
          <w:b/>
        </w:rPr>
        <w:t>E. 4</w:t>
      </w:r>
    </w:p>
    <w:p>
      <w:r>
        <w:t>Le litige porte sur le droit de la recourante à une demi-rente de l'assurance- invalidité et à des mesures d’ordre professionnel.</w:t>
      </w:r>
    </w:p>
    <w:p>
      <w:r>
        <w:rPr>
          <w:b/>
        </w:rPr>
        <w:t>E. 4.2</w:t>
      </w:r>
    </w:p>
    <w:p>
      <w:r>
        <w:t>et ATF 123 V 233 consid. 3c ainsi que les références), une personne qui s'oc- cupe du ménage doit faire ce que l'on peut raisonnablement attendre d'elle afin d'améliorer sa capacité de travail et réduire les effets de l'atteinte à la santé; elle doit en particulier se procurer, dans les limites de ses moyens, l'équipement ou les appa- 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 vaux du ménage et par conséquent qu'elle a besoin, dans une mesure importante, de l'aide d'une personne extérieure qu'elle doit rémunérer à ce titre (RCC 1984 p. 143 consid. 5). La tenue d'un ménage privé permet, par ailleurs, des adaptations de l'ac- tivité aux problèmes physiques qui ne sont pas nécessairement compatibles avec les exigences de rendement propres à l'exercice similaire dans un contexte profession- nel (ATFA non publié I 735/04 du 17 janvier 2006, consid. 6.4). Dans le cadre de l'évaluation de l'invalidité dans les travaux habituels, l'aide des membres de la fa- mille (en particulier celle des enfants) va au-delà de ce que l'on peut attendre de ceux-ci, si la personne assurée n'était pas atteinte dans sa santé (ATFA non publié I</w:t>
      </w:r>
    </w:p>
    <w:p>
      <w:r>
        <w:t>A/2122/2009 - 17/23 - 308/04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 mée de l'état de santé réel de la personne assurée (ATFA non publié I 257/04 du 17 mars 2005, consid. 5.4.4). b) A titre préalable, il convient de relever que l’enquêtrice n’a tiré aucune conclu- sion du fait que la fille de la recourante devait quitter le canton à la fin du mois d’octobre 2008 et qu’elle s’est limitée à distinguer deux périodes : celle antérieure au 30 août 2006 - date à laquelle la fille de la recourante a quitté le domicile fami- lial - et la période postérieure à cette date. Or, le juge des assurances sociales ap- précie la légalité des décisions attaquées d'après l'état de fait existant au moment où la décision litigieuse a été rendue (ATF 121 V 362 consid. 1b et les références). Etant donné qu’en l’occurrence, la décision litigieuse a été rendue le 14 mai 2009, il appartenait à l’OAI de tenir compte de tous les faits réalisés jusqu’à cette date et en particulier du fait que la fille de la recourante, dans la mesure où elle quittait le can- ton, ne serait plus en mesure de lui apporter la moindre aide. Il y a lieu de corriger les conclusions de l’enquêtrice au moins dans cette mesure. c) S’agissant du poste « alimentation » - représentant 47% des activités -, l’enquêtrice a retenu un empêchement de 9%, puis de 13%. Elle a relevé que l’assurée cuisinait désormais des repas plus simples, dont elle fractionnait la prépa- ration en plusieurs étapes et qu’elle avait par ailleurs renoncé à lancer des invita- tions, à faire des pâtisseries ou encore à nettoyer sa cuisine « à fond ». Il faut ad- mettre avec la recourante que les empêchements retenus par l’enquêtrice apparais- sent largement sous-évalués si l’on prend en considération les activités regroupées sous ce poste et le nombre d’empêchements rencontrés par la recourante, que ce soit au niveau de la préparation des repas, du nettoyage de la cuisine, du renonce- ment à préparer certains plats alors que la cuisine semblait être une activité de pré- dilection de l’intéressée. On ne saurait ainsi se satisfaire du fait que celle-ci dise avoir dû renoncer à nettoyer régulièrement et doive fractionner la préparation des repas en de multiples étapes. Le plus simple serait de faire procéder à une nouvelle enquête. Cependant, vu la durée déjà prise par la procédure (la demande remonte à 2002), le Tribunal de céans se propose de procéder à une évaluation dans les gran- des lignes, au vu du nombre d’empêchements comparé au nombre d’activités com- prises dans le poste. Il conclura ainsi à un degré d’empêchement de 12% (représen- tant un degré d’invalidité de 5.64% [47% x 12%]) pour la période antérieure à sep- tembre 2006 - ceci afin de tenir compte de l’aide apportée par la fille de l’assurée, aide évaluée à 30% environ -, puis à un degré d’empêchement de 18% (conduisant à un degré d’invalidité de 8.46% [47% x 18%]). S’agissant du poste « entretien du logement » - correspondant à 18% des activités ménagères -, l’enquêtrice a admis un empêchement de 34.5%, puis de 41.5%, préci-</w:t>
      </w:r>
    </w:p>
    <w:p>
      <w:r>
        <w:t>A/2122/2009 - 18/23 - sant que l’assurée passait l’aspirateur « à petites doses », qu’elle avait réduit les tra- vaux de nettoyage au minimum et que sa fille passait quotidiennement lui donner un coup de main. La recourante allègue quant à elle que sa fille ne peut plus l’aider depuis qu’elle a déménagé. Cette allégation parait plausible, de sorte qu’il convient d’évaluer l’empêchement à 50% dès le 1er septembre 2006, ce qui conduit à un de- gré d’invalidité de 9% (18% x 50%). On relèvera, concernant le poste « emplettes et courses diverses », que les explica- tions données par l’enquêtrice pour ne pas retenir d’empêchement - à savoir l’aide apportée régulièrement par la fille de la recourante - ne sont plus valables au-delà du 30 octobre 2008. Notamment, il apparaît que la recourante est incapable de se charger des emplettes qualifiée de « lourdes » et qui représentent 20% du poste en question, soit un degré d’invalidité de 2% (10% x 20%). Quant à la lessive et à l’entretien des vêtements - activité représentant 18% des tâ- ches ménagères -, l’enquêtrice a évalué l’empêchement à 10%, puis de 5%. Elle a précisé que l’assurée repassait le moins possible, et répartissait la tâche en plusieurs fois car elle devait s’arrêter lorsque les douleurs apparaissaient. On comprend ce- pendant difficilement pour quelles raisons l’empêchement serait moins élevé après le déménagement de la fille de l’intéressée ; on ignore si les chiffres mentionnés dans le rapport ont été intervertis ou si l’enquêtrice a diminué l’empêchement de 50% au lieu de l’augmenter de 50%. Quoi qu’il en soit, dans la situation la plus fa- vorable à la recourante, le taux d’empêchement de 10% jusqu’à la fin du mois août 2006 et de 20% par la suite conduit à un taux d’invalidité de 1.8%, respectivement de 3.6% (18% x 20%). Contrairement à ce qu’allègue la recourante, le poste « divers » concerne unique- ment les loisirs et les relations sociales qui ne sont pas touchés par les précautions et difficultés consacrées aux soins corporels, de sorte que c’est à juste titre que l’enquêtrice n’a pas retenu d’empêchement. Il n’y a pas davantage lieu de tenir compte du temps supplémentaire nécessaire pour accomplir les diverses tâches du ménage, puisqu’en vertu de l’obligation qu’a tout assuré de diminuer le dommage, il incombe à la recourante de répartir son tra- vail en s’aménageant des pauses ou en repoussant les travaux peu urgents. Par ail- leurs, les empêchements qu’elle allègue dans les divers postes ne sont pas vraisem- blables. En effet, la recourante a procédé à sa propre évaluation sans donner d’éléments objectifs motivant cette évaluation, de sorte que cette dernière ne peut être prise en compte. En définitive, si l’on adopte l’évaluation la plus favorable pour la recourante, l’incapacité de cette dernière à exercer ses tâches ménagères doit être évaluée en distinguant trois périodes : la première antérieure à septembre 2006 (a), la seconde</w:t>
      </w:r>
    </w:p>
    <w:p>
      <w:r>
        <w:t>A/2122/2009 - 19/23 - de septembre 2006 à fin octobre 2008 (b) et la troisième, postérieure au 30 octobre 2008 (c). L’empêchement de la recourante dans les différents postes est ainsi calculé de la manière suivante : alimentation = a) 5.64%, b et c) 8.46% entretien du logement = a) 6.21%, b) et c) 9% emplettes et courses diverses = a et b) 0%, c) 2% lessive et entretien des vêtements = a) 1.8%, b et c) 3.6% Il en découle un degré d’invalidité dans la sphère ménagère de 13.65% (5.64 + 6.21 + 0 + 1.8) pour la période de l’accident jusqu’à la fin du mois d’août 2006, de 21.06% (8.46 + 9 + 0 + 3.6) de septembre 2006 à octobre 2008 et de 23.06% (8.46 + 9 +2 + 3.6) dès novembre 2008.</w:t>
      </w:r>
    </w:p>
    <w:p>
      <w:r>
        <w:rPr>
          <w:b/>
        </w:rPr>
        <w:t>E. 5</w:t>
      </w:r>
    </w:p>
    <w:p>
      <w:r>
        <w:t>Est réputée invalidité, l'incapacité de gain totale ou partielle présumée permanente ou de longue durée, résultant d'une infirmité congénitale, d'une maladie ou d'un ac- cident (art. 8 al. 1 LPGA et 4 al. 1 LAI). Est réputée incapacité de gain toute dimi-</w:t>
      </w:r>
    </w:p>
    <w:p>
      <w:r>
        <w:t>A/2122/2009 - 9/23 - nution de l'ensemble ou d'une partie des possibilités de gain de l'assuré sur le mar- 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 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 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 tions de la capacité de gain que l'assuré pourrait empêcher en faisant preuve de bonne volonté; la mesure de ce qui est exigible doit être déterminée aussi objecti- vement que possible (ATF 102 V 165; VSI 2001 p. 224 consid. 2b et les références; cf. aussi ATF 127 V 298 consid. 4c in fine). Dans les cas de troubles somatoformes douloureux, il existe une présomption selon laquelle cette atteinte à la santé ou ses effets peuvent être surmontés par un effort de volonté raisonnablement exigible. La jurisprudence a étendu cette présomption no- tamment au diagnostic de fibromyalgie (ATF 132 V 65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 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 mes douloureux ATF 130 V 352 consid. 3.3.1 in fine). Parmi les autres critères dé- terminants, doivent être considérés comme pertinents un processus maladif s'éten- dant sur plusieurs années sans rémission durable (symptomatologie inchangée ou progressive), des affections corporelles chroniques, une perte d'intégration sociale dans toutes les manifestations de la vie et l'échec de traitements ambulatoires ou</w:t>
      </w:r>
    </w:p>
    <w:p>
      <w:r>
        <w:t>A/2122/2009 - 10/23 - stationnaires conformes aux règles de l'art (même avec différents types de traite- 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 teinte à la santé ouvrant le droit aux prestations d'assurance, si les limitations liées à l'exercice d'une activité résultent d'une exagération des symptômes ou d'une cons- 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w:t>
      </w:r>
    </w:p>
    <w:p>
      <w:r>
        <w:rPr>
          <w:b/>
        </w:rPr>
        <w:t>E. 6</w:t>
      </w:r>
    </w:p>
    <w:p>
      <w:r>
        <w:t>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 pective de l'activité lucrative et celle de l'accomplissement des autres travaux habi- tuels et calculer le degré d'invalidité d'après le handicap dont l'assuré est affecté dans les deux activités en question (jusqu'au 31 décembre 2002 : art. 28 al. 3 LAI en corrélation avec l'art. 27bis al. 1 et 2 RAI; du 1er janvier au 31 décembre 2003 : art. 28 al. 3 LAI en corrélation avec les art. 27bis al. 1 et 2 RAI et 8 al. 3 LPGA, ainsi que l'art. 16 LPGA; depuis le 1er janvier 2004 : art. 28 al. 2ter LAI en corréla- tion avec les art. 27bis RAI et 16 LPGA, ainsi que l'art. 28 al. 2bis LAI en corréla- tion avec les art. 27 RAI et 8 al. 3 LPGA). Ainsi, il convient d’évaluer d'une part l'invalidité dans les travaux habituels par comparaison des activités (art. 27 RAI) et d'autre part l'invalidité dans une activité lucrative par comparaison des revenus (art. 28 al. 2 LAI jusqu’au 31 décembre 2002 et 16 LPGA dès le 1er janvier 2003); on pourra alors apprécier l'invalidité globale d'après le temps consacré à ces deux champs d'activité.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 pond à la diminution - attestée médicalement - du rendement fonctionnel dans l'ac- complissement des travaux habituels (ATF 130 V 97).</w:t>
      </w:r>
    </w:p>
    <w:p>
      <w:r>
        <w:rPr>
          <w:b/>
        </w:rPr>
        <w:t>E. 7</w:t>
      </w:r>
    </w:p>
    <w:p>
      <w:r>
        <w:t>Selon l'art. 8 al. 1 LAI, les assurés invalides ou menacés d'une invalidité (art. 8 LPGA) ont droit aux mesures de réadaptation pour autant que ces mesures soient</w:t>
      </w:r>
    </w:p>
    <w:p>
      <w:r>
        <w:t>A/2122/2009 - 11/23 - nécessaires et de nature à rétablir, maintenir ou améliorer leur capacité de gain ou leur capacité d’accomplir leurs travaux habituels (let. a) et que les conditions d’octroi des différentes mesures soient remplies (let. b). Aux termes de l’art. 8 al. 3 LAI, les mesures de réadaptation comprennent des mesures médicales (let. a), des mesures de réinsertion préparant à la réadaptation professionnelle (let. abis), des me- sures d’ordre professionnel (orientation professionnelle, formation professionnelle initiale, reclassement, placement, aide en capital; let. c), l’octroi de moyens auxi- liaires (let. d). En vertu de l'art. 17 al. 1 LAI, l’assuré a droit au reclassement dans une nouvelle profession si son invalidité rend cette mesure nécessaire et que sa capacité de gain peut ainsi, selon toute vraisemblance, être maintenue ou améliorée. Sont considé- rées comme un reclassement les mesures de formation destinées à des assurés qui en ont besoin, en raison de leur invalidité, après achèvement d'une formation pro- fessionnelle initiale ou après le début de l'exercice d'une activité lucrative sans for- mation préalable, pour maintenir ou pour améliorer sensiblement leur capacité de gain (art. 6 al. 1 RAI). Il faut alors que l'invalidité soit d'une certaine gravité; selon la jurisprudence, cette condition est donnée lorsque l'assuré subit dans l'activité en- core exigible sans autre formation professionnelle, une perte de gain durable ou permanente de 20%). Il n'existe aucun droit au reclassement si la diminution de la capacité de gain n'atteint pas le seuil minimum fixé par la jurisprudence de 20% environ (ATF 124 V 108 consid. 2b et les références; ATFA non publié I 495/03 du 5 février 2004, consid. 2.2). Par reclassement, la jurisprudence entend l'ensemble des mesures de réadaptation de nature professionnelle qui sont nécessaires et suffisantes pour procurer à l'assuré une possibilité de gain à peu près équivalente à celle que lui offrait son ancienne ac- tivité (ATF 124 V 108 consid. 2a et les références; VSI 2002 p. 109 consid. 2a). Sont réputées nécessaires et appropriées toutes les mesures de réadaptation profes- sionnelle qui contribuent directement à favoriser la réadaptation dans la vie active (ATF 124 V 108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Zürich 1997, p. 124 ss).</w:t>
      </w:r>
    </w:p>
    <w:p>
      <w:r>
        <w:rPr>
          <w:b/>
        </w:rPr>
        <w:t>E. 8</w:t>
      </w:r>
    </w:p>
    <w:p>
      <w:r>
        <w:t>Pour pouvoir calculer le degré d'invalidité, l'administration (ou le juge, s'il y a eu un recours) a besoin de documents que le médecin, éventuellement aussi d'autres spé- cialistes, doivent lui fournir (ATF 125 V 261 consid. 4). La tâche du médecin</w:t>
      </w:r>
    </w:p>
    <w:p>
      <w:r>
        <w:t>A/2122/2009 - 12/23 - consiste à porter un jugement sur l'état de santé et à indiquer dans quelle mesure et pour quelles activités l'assuré est incapable de travailler. En outre, les données mé- dicales constituent un élément utile pour déterminer quels travaux on peut encore, raisonnablement, exiger de l'assuré (ATF 125 V 261 consid. 4 et les références). Les organes d'observation professionnelle ont pour fonction de compléter les don- 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ss). En particulier, lorsque l'appréciation d'un COPAI diverge sensiblement de celle des médecins d'un COMAI, il incombe à l'administration ou, en cas de recours, au juge de confronter les deux appréciations, au besoin en requérant un complément d'instruction de la part du COPAI ou du COMAI (consid. 4.3, publié dans Plädoyer 2004/3 p. 64, de l'arrêt du TFA I 35/03 du 24 octobre 2003).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ATF non publié 9C_556/2007 du 29 avril 2008, consid. 5.1).</w:t>
      </w:r>
    </w:p>
    <w:p>
      <w:r>
        <w:rPr>
          <w:b/>
        </w:rPr>
        <w:t>E. 9</w:t>
      </w:r>
    </w:p>
    <w:p>
      <w:r>
        <w:t>A titre préalable, il y a lieu de préciser que le trouble somatoforme douloureux per- sistant invoqué dans le cas d’espèce par le Dr D_________ - pour autant que ce diagnostic puisse être retenu puisqu’il n’a pas été posé par un psychiatre - n’a pas d’incidence sur l’incapacité de gain de la recourante puisqu’aucune des pièces mé- dicales versées au dossier ne met en évidence un trouble somatoforme invalidant au sens de la jurisprudence récente (cf. ATF 130 V 353 consid. 2.2.2). En effet, la re- courante ne présente pas de comorbidité psychiatrique d'une acuité et d'une durée suffisamment importantes pour admettre qu'un effort de volonté en vue de surmon- ter la douleur et réintégrer un processus de travail n'est pas exigible de sa part, elle ne subit pas de perte d'intégration sociale, pas plus qu'il n'y a lieu de conclure à l'existence d'un état psychique cristallisé sans évolution possible au plan thérapeuti- que ou à l'échec de traitements ambulatoires ou stationnaires conformes aux règles de l'art. Par conséquent, seules les séquelles de la fracture des plateaux supérieurs de D4-D5 et D6 ainsi que la hernie discale C4-C5 sont susceptibles d’entraîner une incapacité de gain.</w:t>
      </w:r>
    </w:p>
    <w:p>
      <w:r>
        <w:rPr>
          <w:b/>
        </w:rPr>
        <w:t>E. 10</w:t>
      </w:r>
    </w:p>
    <w:p>
      <w:r>
        <w:t>Dans un premier grief, la recourante allègue que le maître de stage des EPI l’aurait « prise en grippe » et lui aurait « inventé une double personnalité ». Ce faisant, elle invoque la prévention de cette personne à son encontre.</w:t>
      </w:r>
    </w:p>
    <w:p>
      <w:r>
        <w:t>A/2122/2009 - 13/23 - Selon la jurisprudence rendue en matière de récusation d’un juge, respectivement d’un expert, applicable par analogie à la récusation d’un maître de réadaptation, ce dernier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le récuser. Il suffit que les circonstan- ces donnent l'apparence de la prévention et fassent redouter une activité partiale. L'appréciation des circonstances ne peut pas reposer sur les seules impressions de l’assuré, la méfiance à l'égard de l'expert devant au contraire apparaître comme fondée sur des éléments objectifs. Seules des circonstances constatées objective- ment doivent être prises en considération (ATF 125 V 351 consid. 3b/ee; ATF 123 V 176 consid. 3d et l'arrêt cité; VSI 2001 p. 109 consid. 3b/ee). En cette matière, il convient de distinguer entre les motifs formels et les motifs ma- 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 cision sur le fond dans le cadre de l'appréciation des preuves (ATF 132 V 93 consid. 6). Le motif de récusation doit être invoqué dès que possible, à défaut de quoi le plai- deur est réputé avoir tacitement renoncé à s’en prévaloir (ATF 119 Ia 221 consid. 5a ; ATFA non publié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En l’occurrence, la recourante a eu connaissance du rapport des EPI en décembre 2008, à la suite de son envoi par l’intimé en date du 17 décembre 2008. Elle a ce- pendant attendu le 24 avril 2009 pour invoquer, pour la première fois, un manque d’objectivité. Outre le fait que le caractère plaintif de la recourante décrit par le maître de stage est une constatation faite par ledit maître en comparaison avec les autres expertisés souffrant des mêmes restrictions et n’est donc pas subjective, le grief est de toute façon tardif, de sorte que la recourante est réputée avoir tacitement renoncé à se prévaloir d'un tel moyen. Ce dernier aurait dû être soulevé dès la fin du stage ou au plus tard à réception du rapport d’observation professionnelle et non pas seulement au moment de la réception du projet de décision de l’intimé.</w:t>
      </w:r>
    </w:p>
    <w:p>
      <w:r>
        <w:rPr>
          <w:b/>
        </w:rPr>
        <w:t>E. 11</w:t>
      </w:r>
    </w:p>
    <w:p>
      <w:r>
        <w:t>Pour le reste, s’agissant de l’évaluation de la capacité de travail de l’assurée, il convient de rappeler que le Dr C_________, dans un rapport établi le 11 octobre 2007, soit après avoir eu connaissance du nouveau diagnostic de hernie discale C3-</w:t>
      </w:r>
    </w:p>
    <w:p>
      <w:r>
        <w:t>A/2122/2009 - 14/23 - C4, a conclu à une incapacité de travail totale dans l’activité d’aide de cuisine et à une capacité exigible de 100% dans une activité adaptée. Suite à l’admission partielle du précédent recours par le Tribunal cantonal en date du 20 décembre 2007 (ATAS/1461/2007) et du renvoi du dossier à l’intimé pour mise en œuvre, notamment, d’un stage d’observation professionnelle, les EPI ont reçu pour mandat de déterminer quelles étaient les activités exigibles de l’assurée et de se positionner sur les mesures professionnelles auxquelles elle pouvait prétendre. A l'issue du stage, les maîtres des EPI ont conclu à une capacité de travail de 80% au moins dans un emploi simple, s’exerçant principalement en position assise ou permettant quelques alternances de position, permettant d’éviter le port répétitif de charges (par exemple aide animatrice dans le secteur de la gérontologie, ouvrière à l’établi ou dans le conditionnement léger), après une mise au courant en entreprise d’une durée de six à douze mois. Ils ont précisé que la diminution de rendement était due à la nécessité pour l’assurée de pouvoir alterner les positions et à une lé- gère diminution de sa polyvalence. Le rapport de synthèse des EPI du 11 novembre 2008 émane d'un établissement pu- blic indépendant de l’assurance-invalidité dont la fonction est de compléter les données médicales en examinant concrètement dans quelle mesure un assuré est à même de mettre en valeur une capacité de travail et de gain sur le marché du tra- vail. On constate que l'appréciation de la capacité de travail raisonnablement exigi- ble de l’assurée par les maîtres de stage des EPI concorde pour l’essentiel avec celle du Dr C_________. Toutefois, la recourante conteste les conclusions des maîtres de stage au motif que ceux-ci n’auraient pris connaissance du diagnostic de hernie discale que bien après le début de l’observation. Cependant, la question du diagnostic exact importe peu en définitive, puisque, du point de vue de l'assurance-invalidité, seuls sont détermi- nants les effets de l'atteinte à la santé sur la capacité de travail et, partant, sur la ca- pacité de gain, de l'assurée. En soi, un diagnostic ne signifie pas encore qu'il existe une atteinte ayant valeur de maladie et des effets sur la capacité de travail et de gain (cf. ATF 127 V 298 consid. 4c; ATFA non publié I 79/04 du 12 avril 2005, consid. 5.4). Au demeurant, les conclusions finales des EPI datent du 11 novembre 2008, soit plusieurs mois après la rectification effectuée par l’intimé à la fin du mois de septembre 2008, de sorte qu’elles tiennent forcément compte de ce dia- gnostic complémentaire. Enfin, contrairement à ce que soutient la recourante, le rapport des EPI prend en considération ses nouvelles limitations fonctionnelles puisqu’il précise qu’elle ne peut conserver longtemps la position assise ni porter de charges, même légères. Ce grief de la recourante apparaît donc infondé. Quant à la réserve sur le temps de travail exigible contenue dans le rapport des maî- tres de réadaptation, dont la recourante relève qu’elle n’a pas été reprise dans les conclusions finales du rapport, elle ne saurait être considérée comme constitutive</w:t>
      </w:r>
    </w:p>
    <w:p>
      <w:r>
        <w:t>A/2122/2009 - 15/23 - d’une contradiction. En effet, si les maîtres de réadaptation ont certes indiqué, sous la rubrique « stage en entreprises, période du 13 au 31 octobre 2008 », que l’accomplissement du stage à 50% les obligeait à émettre des réserves sur le temps de travail exigible, ils ont aussi précisé que, selon eux, la recourante devait être en mesure d’atteindre un taux d’environ 80%, ce qui devait être vérifié lors des stages de confrontation. La réserve émise concernait donc uniquement la capacité de tra- vail et non le rendement de l’intéressée. En définitive, en tenant compte de toute la durée de l’observation qui a duré quatre mois, les maîtres de stage ont conclu à une capacité de rendement d’au moins 80%, en précisant qu’ils n’avaient pas à se pro- noncer sur la capacité de travail, puisqu’il s’agissait d’une mesure d’orientation, qu’il y avait des certificats médicaux au dossier et que la recourante n’avait pu être observée sur un plein temps. Force est de constater que la recourante n'apporte au- cun élément concret permettant d'établir que sa capacité de travail ne serait pas en- tière dans une activité adaptée. En particulier, elle ne produit aucune pièce médicale en ce sens. En effet, contrairement à ce qu’elle allègue, le Dr C_________, dans son rapport du 11 octobre 2007, conclut à une capacité de travail entière dans une activité adaptée légère. Étant donné qu'il n'y a aucune divergence d'appréciation entre les maîtres de stage et le médecin traitant de la recourante, il n'existe aucun motif justifiant de procéder à une instruction complémentaire sur le plan médical, respectivement d'ordonner une expertise pour déterminer la capacité résiduelle de travail de la recourante et son rendement dans une activité adaptée (cf. appréciation anticipée des preuves; ATF 122 II 469 consid. 4a et ATF 119 V 344 consid. 3c; ATFA non publié I 654/02 du 30 juillet 2003, consid. 4.5). D’autant que, dans son rapport du 23 novembre 2001, le Dr B_________ relevait qu’il y avait eu amélioration de l’état de santé de l’intéressée puisque l’IRM ne montrait plus de signe d’œdème médullaire et que l’activité d’aide de cuisine pou- vait être reprise à 75%. Par conséquent, le Tribunal de céans retiendra que depuis l’IRM du 19 octobre 2001, la recourante est en mesure d’exercer à plein temps et avec un rendement de 80% une activité légère lui permettant d’alterner les positions.</w:t>
      </w:r>
    </w:p>
    <w:p>
      <w:r>
        <w:rPr>
          <w:b/>
        </w:rPr>
        <w:t>E. 12</w:t>
      </w:r>
    </w:p>
    <w:p>
      <w:r>
        <w:t>La recourante conteste également les conclusions de l’enquête ménagère, notam- ment s’agissant des postes « alimentation », « entretien du logement », « emplettes et courses diverses », « lessive et entretien des vêtements » et « divers ». a) Pour évaluer l'invalidité des assurés travaillant dans le ménage, l'administration procède à une enquête sur les activités ménagères et fixe l'empêchement dans cha- cun des travaux habituels conformément aux chiffres 3084 ss de la circulaire concernant l'invalidité et l'impotence de l'assurance-invalidité (CIIAI dans sa ver- sion en vigueur jusqu’au 31 décembre 2008).</w:t>
      </w:r>
    </w:p>
    <w:p>
      <w:r>
        <w:t>A/2122/2009 - 16/23 - La fixation de l'invalidité dans les travaux habituels ne saurait reposer sur une éva- luation médico-théorique. En effet, le facteur déterminant pour évaluer l'invalidité des assurés n'exerçant pas d'activité lucrative consiste dans l'empêchement d'ac- 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137 consid. 5.3, 2001 p. 158 consid. 3c; ATFA non publié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 tiale, ainsi que des empêchements et des handicaps résultant des diagnostics médi- 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Pour satisfaire à l'obligation de réduire le dommage (voir ATF 129 V 463 consid.</w:t>
      </w:r>
    </w:p>
    <w:p>
      <w:r>
        <w:rPr>
          <w:b/>
        </w:rPr>
        <w:t>E. 13</w:t>
      </w:r>
    </w:p>
    <w:p>
      <w:r>
        <w:t>Dans un troisième grief, la recourante reproche à l’intimé de ne pas avoir retenu un abattement de 10% sur le revenu d’invalide au motif qu’elle présente des limita- tions fonctionnelles importantes et que sa capacité de travail est nulle dans son acti- vité antérieure. a) Lorsqu'il y a lieu d'appliquer la méthode mixte d'évaluation, l'invalidité des assu- rés pour la part qu'ils consacrent à leur activité lucrative doit être évaluée selon la méthode ordinaire de comparaison des revenus (art. 28 al. 2ter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 tuation professionnelle concrète de l'intéressé. Lorsque l'assuré n'a pas repris d'acti- vité, ou aucune activité adaptée lui permettant de mettre pleinement en valeur sa capacité de travail résiduelle, contrairement à ce qui serait raisonnablement exigible</w:t>
      </w:r>
    </w:p>
    <w:p>
      <w:r>
        <w:t>A/2122/2009 - 20/23 - de sa part, le revenu d'invalide peut être évalué sur la base de données statistiques, telles qu'elles résultent de l'enquête sur la structure des salaires (ci-après : ESS) pu- bliée par l'Office fédéral de la statistique (ci-après : OFS) sur la base de statistiques salariales (ATF 126 V 75 consid. 3b/aa et bb). On se réfère alors à la statistique des salaires bruts standardisés, en se fondant toujours sur la médiane ou valeur centrale (ATF 124 V 323 consid. 3b/bb). La mesure dans laquelle les salaires ressortant des statistiques doivent être réduits, dépend de l'ensemble des circonstances personnelles et professionnelles du cas par- ticulier (limitations liées au handicap, âge, années de service, nationalité/catégorie d'autorisation de séjour et taux d'occupation) et résulte d'une évaluation dans les li- mites du pouvoir d'appréciation. Une déduction globale maximum de 25 % sur le salaire statistique permet de tenir compte des différents éléments qui peuvent in- fluencer le revenu d'une activité lucrative (ATF 126 V 75 consid. 5b/aa-cc). b) En l’espèce, en application des art. 29 al. 1 let. b et 48 al. 2 LAI (dans sa teneur en vigueur jusqu'au 31 décembre 2002), il y a lieu, pour procéder à la comparaison des revenus, de se placer en 2001 puisque l'incapacité de travail est attestée depuis 2000 et que la demande de prestations date du 30 septembre 2002. S’agissant du revenu sans invalidité, la recourante ne conteste pas les chiffres de 43'711 fr. retenus par l’intimé, correspondant à un salaire horaire de 20 fr. à raison de 41 heures par semaine en 2000 et indexé à l’indice des salaires nominaux en 2001. Toutefois, il est plus précis de prendre en considération un revenu sans inva- lidité de 42'640 fr. en 2000 (20 x 41 x 52) et de l’indexer à l’indice nominal des sa- laires en 2001 pour les femmes dans le secteur de la restauration, soit 2.8% (tableau T1.2.93 de l’OFS), ce qui représente un revenu de 43'833 fr. 90 (42'640 + 2.8%) en 2001. Quant au revenu d’invalide, étant donné que la recourante n’a pas repris d’activité lucrative, il y a lieu de se baser sur l’ESS 2000 pour l’établir. Comme l’a fait l’intimé, il convient de se baser sur le salaire de référence auquel peuvent prétendre les femmes effectuant des activités simples et répétitives dans le secteur privé (ni- veau de qualification 4), soit selon l’ESS 2000 (Tableau TA1, valeur médiane, tous secteurs confondus, part au 13ème salaire comprise), un salaire annuel de 43'896 fr. (3'658 x 12) à plein temps. En effet, conformément à la jurisprudence concernant la méthode mixte d'évaluation de l'invalidité (ATF 125 V 146; ATFA non publié I 156/04 du 13 décembre 2005), lorsque l'assuré ne peut plus (ou plus dans une me- sure suffisante) exercer l'activité qu'il exerçait (à temps partiel) avant la survenance de l'atteinte à la santé, le revenu obtenu effectivement dans cette activité (revenu sans invalidité) est comparé au revenu d'invalide obtenu dans une profession adap- tée, compte tenu de la diminution de rendement due à l'atteinte à la santé.</w:t>
      </w:r>
    </w:p>
    <w:p>
      <w:r>
        <w:t>A/2122/2009 - 21/23 - En tenant compte de l’indice nominaux des salaires pour les femmes de 2.5% en 2001, le salaire indexé est de 44'993 fr. 40 (43'896 + 2.5%). Étant donné que les sa- laires bruts standardisés se basent sur un horaire de travail de quarante heures, soit une durée hebdomadaire inférieure à la moyenne usuelle dans les entreprises en 2001 (41.7 heures ; statistique de la durée normale du travail dans les entreprises de l’OFS, table T2.5.2), ce salaire hypothétique est de 46'905 fr. 60 (44'993.40 x 41.7 : 40). Après prise en considération de la diminution de rendement de 20% et, même en tenant compte d’un abattement de 10% comme le réclame la recourante, il en ré- sulte un revenu d’invalide de 33'772 fr. 05 (46'905.60 x 80% = 37'524.50 x 90%), respectivement un taux d’invalidité dans l’activité lucrative de 22.95% (43'833.90 – 33'772.05 : 43'833.90 x 100). S’agissant de l’abattement, contrairement à ce que soutient l’intimé, la prise en considération de la diminution de rendement ne le dis- pense pas d’appliquer un abattement sur le revenu d’invalide si les conditions sont réalisées (cf. par exemple ATFA non publiés I 562/04 du 25 avril 2005 et I 808/04 du 14 septembre 2005, consid. 4.3.3) puisqu’un tel abattement a pour but de pren- dre en compte des possibilités de gain inférieures à la moyenne chez un assuré de- vant se réadapter dans une activité qu’il est jugé apte à exercer malgré son handi- cap. Cela étant, le taux d'invalidité globale pour la période de 2001 à fin août 2006 doit être fixé à 18% [(13.65% x 0.56 = 7.64) + (22.95% x 0.44 =10.1), pour la période de septembre 2006 à octobre 2008 à 22% [(21.06% x 0.56 = 11.79) + 10.1] et enfin, dès novembre 2008 à 23% [(23.06% x 0.56 = 12.91) + 10.1], soit un taux insuffi- sant pour ouvrir le droit à une rente de l'assurance-invalidité. Au vu de ces calculs, il apparaît que, malgré les lacunes que comporte le rapport d’enquête ménagère, il est inutile de faire procéder à une nouvelle enquête, car il apparaît fort peu probable que cette dernière aboutisse à des résultats fondamenta- lement différents de l’appréciation du Tribunal de céans, au point de modifier le degré d’invalidité global et d’avoir une incidence sur le droit à la rente de la recou- rante.</w:t>
      </w:r>
    </w:p>
    <w:p>
      <w:r>
        <w:rPr>
          <w:b/>
        </w:rPr>
        <w:t>E. 14</w:t>
      </w:r>
    </w:p>
    <w:p>
      <w:r>
        <w:t>S’agissant des mesures d’ordre professionnel, étant donné que l’intimé a nié le droit de la recourante à de telles mesures au motif que son degré d’invalidité était infé- rieur à 20% et que le Tribunal de céans aboutit à un degré d’invalidité supérieur, il convient de lui renvoyer le dossier afin qu’il clarifie les mesures d’ordre profes- sionnel que réclame la recourante et qu’il prenne position sur la réalisation des conditions subjectives requises par de telles mesures.</w:t>
      </w:r>
    </w:p>
    <w:p>
      <w:r>
        <w:rPr>
          <w:b/>
        </w:rPr>
        <w:t>E. 15</w:t>
      </w:r>
    </w:p>
    <w:p>
      <w:r>
        <w:t>Au vu de ce qui précède, le recours sera partiellement admis et la décision du 14 mai 2009 sera annulée au sens des considérants. La recourante obtenant partiel- lement gain de cause, une indemnité de 1'500 fr. lui sera accordée à titre de partici- pation à ses frais et dépens (art. 61 let. g LPGA). Etant donné que depuis le 1er juil-</w:t>
      </w:r>
    </w:p>
    <w:p>
      <w:r>
        <w:t>A/2122/2009 - 22/23 - let 2006, la procédure n'est plus gratuite (art. 69 al. 1bis LAI), au vu du sort du re- cours, il y a lieu de condamner l'intimé au paiement d'un émolument de 500 fr.</w:t>
      </w:r>
    </w:p>
    <w:p>
      <w:r>
        <w:t>A/2122/2009 - 23/23 -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