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ATAS/163/2008 vom 12. Februar 2008</w:t>
      </w:r>
    </w:p>
    <w:p>
      <w:r>
        <w:t>GE Cour de justice, 2008-02-12, FR</w:t>
      </w:r>
    </w:p>
    <w:p>
      <w:r>
        <w:rPr>
          <w:b/>
        </w:rPr>
        <w:t xml:space="preserve">Quelle: </w:t>
      </w:r>
      <w:r>
        <w:t>https://mcp.opencaselaw.ch/entscheid/ge_gerichte_ATAS_163_2008</w:t>
      </w:r>
    </w:p>
    <w:p>
      <w:r>
        <w:t>FR: GE_GERICHTE ATAS/163/2008 du 12 février 2008</w:t>
      </w:r>
    </w:p>
    <w:p>
      <w:r>
        <w:t>IT: GE_GERICHTE ATAS/163/2008 del 12 febbraio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Dans la mesure où l'annonce de rechute date de 2007, la LPGA (entrée en vigueur le 1er janvier 2003) est applicable au cas d'espèce, tant pour ce qui concerne le fond, que la procédure.</w:t>
      </w:r>
    </w:p>
    <w:p>
      <w:r>
        <w:rPr>
          <w:b/>
        </w:rPr>
        <w:t>E. 3</w:t>
      </w:r>
    </w:p>
    <w:p>
      <w:r>
        <w:t>Interjeté dans les forme et délai prévus par la loi, le recours est recevable (art. 56 à 61 LPGA).</w:t>
      </w:r>
    </w:p>
    <w:p>
      <w:r>
        <w:rPr>
          <w:b/>
        </w:rPr>
        <w:t>E. 4</w:t>
      </w:r>
    </w:p>
    <w:p>
      <w:r>
        <w:t>Le litige porte sur la question de savoir s'il existe un rapport de causalité entre l'accident de 2005 et la rechute annoncée en 2007.</w:t>
      </w:r>
    </w:p>
    <w:p>
      <w:r>
        <w:rPr>
          <w:b/>
        </w:rPr>
        <w:t>E. 5</w:t>
      </w:r>
    </w:p>
    <w:p>
      <w:r>
        <w:t>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également allouées en cas de rechutes et de séquelles tardives (art. 11 OLAA). Selon la jurisprudence, les rechutes et les séquelles tardives ont ceci en commun qu'elles sont attribuables à</w:t>
      </w:r>
    </w:p>
    <w:p>
      <w:r>
        <w:t>A/3733/2007 - 5/9 -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138 consid. 3a et les références).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337 consid. 1, 118 V 289 consid. 1b et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 U 142 p. 75 consid. 4b; FRESARD, L'assurance-accidents obligatoire, in Schweizerisches Bundesverwaltungsrecht [SBVR], Soziale Sicherheit, n°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no U 363 p. 46 ; ATFA non publié U 220/02 du 6 août 2003 consid. 2.3). Par ailleurs, le seul fait que des symptômes douloureux ne se sont manifestés qu'après la survenance d'un accident ne suffit pas à établir un rapport de causalité naturelle avec cet accident (raisonnement «post hoc, ergo propter hoc»; cf. ATF 119 V 341 sv., consid. 2b/bb; RAMA 1999 n° U 341 p. 408 ss, consid. 3b). Il</w:t>
      </w:r>
    </w:p>
    <w:p>
      <w:r>
        <w:t>A/3733/2007 - 6/9 - convient en principe d'en rechercher l'étiologie et de vérifier, sur cette base, l'existence du rapport de causalité avec l'événement assuré.</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(ATF 125 V 353 ss consid. 3b/ee; ATFA non publié du 13 mars 2000, I 592/99, consid. b/ee). La Cour européenne des droits de l'homme a estimé que ce principe n'était pas contraire à l'art. 6 par. 1 CEDH garantissant le droit à un procès équitable (JAAC 1998 95 917). Cette situation peut cependant faire naître des</w:t>
      </w:r>
    </w:p>
    <w:p>
      <w:r>
        <w:t>A/3733/2007 - 7/9 - soupçons de prévention qui, pour être retenus, doivent reposer sur des éléments objectifs et pas uniquement sur les impressions de l'assuré (ATFA non publié du 17 février 2006, U 234/05, consid. 2.1). S'agissant enfin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il convient de constater préalablement que la situation médicale de la recourante est claire et qu'il n'est ainsi ni nécessaire, ni utile d'ordonner une expertise neurologique. Il sera rappelé à cet égard que, conformément au principe inquisitoire qui régit la procédure dans le domaine des assurances sociales, l'administration est tenue d'ordonner une instruction complémentaire lorsque les allégations des parties et les éléments ressortant du dossier requièrent une telle mesure. En particulier, elle doit mettre en œuvre une expertise lorsqu'il apparaît nécessaire de clarifier les aspects médicaux du cas (ATF 117 V 283 consid. 4a; RAMA 1985 K 646 p. 240 consid. 4), ce qui n'est manifestement pas le cas en l'occurrence.</w:t>
      </w:r>
    </w:p>
    <w:p>
      <w:r>
        <w:rPr>
          <w:b/>
        </w:rPr>
        <w:t>E. 8</w:t>
      </w:r>
    </w:p>
    <w:p>
      <w:r>
        <w:t>Cela étant, le Tribunal constate que l'appréciation médicale du Dr B_________ du 19 juin 2007 remplit toutes les conditions auxquelles la jurisprudence soumet la valeur probante d'un tel document. Elle a été établie en pleine connaissance du dossier médical et prend en considération les plaintes de la recourante (qui a été entendue par un inspecteur de la SUVA). De plus, le point litigieux a fait l'objet d'une étude circonstanciée. La description du contexte médical pertinent et l'appréciation de la situation médicale en relation avec l'accident sont claires et les conclusions du médecin sont dûment motivées. On ajoutera par ailleurs que le grief tiré du fait que ce praticien n'a pas examiné personnellement la recourante doit être écarté, dès lors que, selon la jurisprudence, une expertise médicale établie sur la base d'un dossier a valeur probante pour autant que celui-ci contienne suffisamment d'appréciations médicales qui, elles, se fondent sur un examen personnel de l'assuré (RAMA 2001 n° U 438 p. 346 consid. 3d), ce qui est le cas en l'occurrence, puisque le dossier comprend les diagnostics du médecin traitant. Ainsi, il sied de retenir, avec le médecin d'arrondissement de la SUVA, que la rechute annoncée en 2007 n'est pas en relation de causalité naturelle avec l'accident du 18 janvier 2005. L'avis de la Dresse A_________ ne permet pas une appréciation différente. D'abord, elle n'établit pas l'existence d'un traitement suivi entre 2005 et 2007, malgré la demande du Tribunal de céans. Au contraire, elle admet que "le lien de causalité entre l'accident et le problème actuel de douleurs chroniques est difficile à</w:t>
      </w:r>
    </w:p>
    <w:p>
      <w:r>
        <w:t>A/3733/2007 - 8/9 - affirmer de manière certaine". Son affirmation selon laquelle les douleurs au niveau de la nuque sont une conséquence naturelle d'accidents impliquant la colonne vertébrale cervicale apparaît dictée par le principe «post hoc, ergo propter hoc», auquel le juge n'accorde aucune valeur probante. De plus, le médecin traitant fait état d'une discopathie, qui est par nature dégénérative. Il est rappelé à cet égard qu'une relation de cause à effet entre un accident et un prolapsus discal n'est admise que dans des cas exceptionnels (ATFA non publié U 179/03 du 7 juillet 2004, consid. 4.4.2). En l'occurrence, les radiographies prises en novembre 2006 ne révèlent aucun indice en faveur d'une lésion d'origine traumatique, comme le précise le Dr B_________. Enfin, les allégations de la recourante sur l'existence d'une lésion du type "coup du lapin", faites pour la première fois en mai 2007, sont tardives. Sur cette question, il convient de souligner d'abord qu'en présence de versions différentes au sujet des circonstances d'un accident, il faut, selon la jurisprudence, donner la préférence à celle que l'assuré a donnée en premier, alors qu'il en ignorait les conséquences juridiques, les explications nouvelles pouvant être - consciemment ou non - le produit de réflexions ultérieures (ATF 121 V 47 consid. 2a et les références; RAMA 2004 n° U 515 p. 420 consid. 1.2, n° U 518 p. 436 consid. 4.2 et n° U 519 p. 440 consid. 3.2; VSI 2000 p. 201 consid. 2d; ATFA non publié du 30 décembre 2004, U 97/04). En tout état, en matière de lésions au rachis cervical par accident de type «coup du lapin» (ATF 119 V 335, 117 V 359), de traumatisme analogue (SVR 1995 UV n° 23 p. 67) ou de traumatisme crânio-cérébral (ATF 117 V 369), sans preuve d'un déficit fonctionnel organique, l'existence d'un lien de causalité naturelle entre l'accident et l'incapacité de travail ou de gain doit en principe être reconnue en présence d'un tableau clinique typique présentant de multiples plaintes (maux de tête diffus, vertiges, troubles de la vue, de la concentration et de la mémoire, fatigabilité, dépression, etc.). Il faut cependant que, médicalement, les plaintes puissent de manière crédible être attribuées à une atteinte à la santé; celle-ci doit apparaître, avec un degré de vraisemblance prépondérante, comme la conséquence de l'accident (ATF 119 V 338 ss consid. 2, 117 V 360 ss consid. 4b). Or, ni la recourante, ni le médecin traitant n'ont fait état en 2005 de plaintes du type de celles rappelées ci-dessus, de sorte que la causalité naturelle devrait de toute façon être niée. Dans la mesure où il est établi au degré de vraisemblance requis que les troubles présentés par la recourante depuis début 2007 ne sont plus en relation de causalité naturelle avec l'accident du 18 janvier 2005, toute prestation est effectivement exclue, sans qu'il ne soit nécessaire d'examiner la condition de la causalité adéquate.</w:t>
      </w:r>
    </w:p>
    <w:p>
      <w:r>
        <w:rPr>
          <w:b/>
        </w:rPr>
        <w:t>E. 9</w:t>
      </w:r>
    </w:p>
    <w:p>
      <w:r>
        <w:t>Mal fondé, le recours doit être rejeté. La procédure est gratuite (art. 61 let. a LPGA).</w:t>
      </w:r>
    </w:p>
    <w:p>
      <w:r>
        <w:t>A/3733/2007 - 9/9 -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