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ATAS/1638/2009 vom 10. Dezember 2009</w:t>
      </w:r>
    </w:p>
    <w:p>
      <w:r>
        <w:t>GE Cour de justice, 2009-12-10, FR</w:t>
      </w:r>
    </w:p>
    <w:p>
      <w:r>
        <w:rPr>
          <w:b/>
        </w:rPr>
        <w:t xml:space="preserve">Quelle: </w:t>
      </w:r>
      <w:r>
        <w:t>https://mcp.opencaselaw.ch/entscheid/ge_gerichte_ATAS_1638_2009</w:t>
      </w:r>
    </w:p>
    <w:p>
      <w:r>
        <w:t>FR: GE_GERICHTE ATAS/1638/2009 du 10 décembre 2009</w:t>
      </w:r>
    </w:p>
    <w:p>
      <w:r>
        <w:t>IT: GE_GERICHTE ATAS/1638/2009 del 10 dicembre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 s'est aggravé depuis la décision du 10 avril 2006 et ce, au point de lui ouvrir droit à une demi- rente d’invalidité.</w:t>
      </w:r>
    </w:p>
    <w:p>
      <w:r>
        <w:t>A/670/2007 - 9/14 -</w:t>
      </w:r>
    </w:p>
    <w:p>
      <w:r>
        <w:rPr>
          <w:b/>
        </w:rPr>
        <w:t>E. 5</w:t>
      </w:r>
    </w:p>
    <w:p>
      <w:r>
        <w:t>a) Lorsque l’octroi d’une rente a été refusé parce que le degré d'invalidité était insuffisant, la nouvelle demande ne peut être examinée que si l'assuré rend plausible que son invalidité ou son impotence s'est modifiée de manière à influencer ses droits (art. 17 LPGA; art. 87 al. 3 et 4 du règlement sur l’assurance- 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Aux termes des art. 4 LAI et 8 LPGA, l'invalidité est la diminution de la capacité de gain, présumée permanente ou de longue durée, qui résulte d'une atteinte à la santé</w:t>
      </w:r>
    </w:p>
    <w:p>
      <w:r>
        <w:t>A/670/2007 - 10/14 -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7</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w:t>
      </w:r>
    </w:p>
    <w:p>
      <w:r>
        <w:t>A/670/2007 - 11/14 -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w:t>
      </w:r>
    </w:p>
    <w:p>
      <w:r>
        <w:rPr>
          <w:b/>
        </w:rPr>
        <w:t>E. 8</w:t>
      </w:r>
    </w:p>
    <w:p>
      <w:r>
        <w:t>En l’espèce, le recourant allègue en premier lieu que le stage de réadaptation professionnelle qu’il a suivi auprès des HUG démontre son incapacité de travail. Cependant, force est de constater que les observateurs des HUG ne font état d’aucune aggravation de l’état de santé de l’assuré, de sorte que leur évaluation n’apparaît que comme une appréciation différente de la capacité de travail de l’assuré, ce qui ne saurait suffire à justifier une révision.</w:t>
      </w:r>
    </w:p>
    <w:p>
      <w:r>
        <w:t>A/670/2007 - 12/14 - L’assuré allègue ensuite que ses douleurs à l’épaule gauche se sont amplifiées. Sur ce point, on ne saurait cependant conclure à une aggravation depuis avril 2006, date du premier refus de prestations. En effet, ces douleurs étaient déjà présentes depuis longtemps et, selon le Dr A__________, les cervicalgies et céphalées sont apparues quelques mois après l’opération déjà. Elles ne sauraient dès lors constituer un fait nouveau. On relèvera d’ailleurs que le médecin traitant ne mentionne pas ces douleurs au titre de l’aggravation invoquée et qu’il indique seulement qu’elles ne se sont pas notablement améliorées. Le recourant invoque par ailleurs des problèmes épileptiques. Là encore, force est de constater que ces problèmes sont présents depuis bien des années déjà et n’ont pas empêché l’assuré de travailler par le passé. En admettant même que les crises se soient rapprochées, le fait qu’un certain nombre de professions s’effectuant en position dangereuse doivent être écartées ne saurait entrainer une diminution de la capacité de travail. En effet, le revenu d’invalide a été déterminé en se référant au salaire mensuel brut (valeur centrale), tel qu'il résulte de l'Enquête sur la structure des salaires de l'Office fédéral de la statistique (ESS) pour des activités simples et répétitives, toutes branches économiques confondues. Or, on peut admettre, que la plupart de ces emplois sont, abstraction faite des limitations éprouvées par le recourant, conformes aux aptitudes de celui-ci, même si l’on y ajoute le fait de devoir éviter les situations dangereuses, car au regard du large éventail d'activités simples et répétitives que recouvrent les secteurs de la production et des services, on doit convenir qu'un nombre significatif de ces activités sont légères et adaptées à son handicap et que le salaire statistique qui a été pris en considération est donc représentatif de ce que pourrait gagner l’intéressé, compte tenu d'un marché équilibré du travail (au sens de l'art. 28 al. 2 aLAI ou 16 LPGA), en mettant à profit sa pleine capacité de travail dans une activité adaptée. Là encore, il n’y a donc pas d’aggravation susceptible d’influencer le droit aux prestations. Reste la question de savoir si l’aggravation de l’état psychique de l’assuré, dont il a été établi qu’il a été qualifié de grave durant quelques mois, à tout le moins au début de son suivi par la Dresse F__________, peut être considéré comme une aggravation susceptible d’influencer son droit aux prestations. Certes, ainsi que l’a relevé l’intimé, l’état psychique de l’assuré s’est progressivement amélioré depuis lors. Il est désormais qualifié de gravité moyenne, tant par les médecins de Belle-Idée à sa sortie, que par les médecins du service d’addictologie (cf. résumé de séjour du 7 avril 2009), ou encore par son psychiatre traitant. Il n’en demeure pas moins que ce dernier conclut malgré tout à une capacité de travail réduite, du seul point de vue psychique, à 50-60%. Dans la mesure où le médecin ne justifie cependant pas outre mesure cette évaluation et où aucun autre spécialiste ne s’est prononcé sur la question de la capacité de travail du recourant de ce point de vue, le Tribunal de céans considère qu’il n’est pas en mesure de se prononcer sur la question de savoir si l’aggravation invoquée - et</w:t>
      </w:r>
    </w:p>
    <w:p>
      <w:r>
        <w:t>A/670/2007 - 13/14 - rendue plausible au cours de la procédure devant le Tribunal de céans - influence le degré d’invalidité et à quel point. On ignore également durant quelle période exactement l’état de l’assuré a pu être qualifié de sévère par le passé et quelle était alors sa capacité de travail.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La cause n'étant, de l'avis du Tribunal de céans, pas suffisamment instruite pour lui permettre de se déterminer en connaissance de cause, il convient de renvoyer la cause à l'intimé pour instruction complémentaire et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à une expertise psychiatrique par un médecin spécialisé en la matière, de préférence indépendant, se détermine sur l'évolution de l'état de santé du recourant et ses répercussions sur son droit éventuel à des prestations de l'assurance-invalidité.</w:t>
      </w:r>
    </w:p>
    <w:p>
      <w:r>
        <w:t>A/670/2007 - 14/14 -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