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ATAS/162/2018 vom 27. Februar 2018</w:t>
      </w:r>
    </w:p>
    <w:p>
      <w:r>
        <w:t>GE Cour de justice, 2018-02-27, FR</w:t>
      </w:r>
    </w:p>
    <w:p>
      <w:r>
        <w:rPr>
          <w:b/>
        </w:rPr>
        <w:t xml:space="preserve">Quelle: </w:t>
      </w:r>
      <w:r>
        <w:t>https://mcp.opencaselaw.ch/entscheid/ge_gerichte_ATAS_162_2018</w:t>
      </w:r>
    </w:p>
    <w:p>
      <w:r>
        <w:t>FR: GE_GERICHTE ATAS/162/2018 du 27 février 2018</w:t>
      </w:r>
    </w:p>
    <w:p>
      <w:r>
        <w:t>IT: GE_GERICHTE ATAS/162/2018 del 27 febbraio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a. L'art. 61 LPGA prévoit que la procédure devant la Chambre des assurances sociales est réglée par le droit cantonal, sous réserve de ce que celui-ci respecte les exigences minimales requises par la LPGA.</w:t>
      </w:r>
    </w:p>
    <w:p>
      <w:r>
        <w:t>- 3/5-</w:t>
      </w:r>
    </w:p>
    <w:p>
      <w:r>
        <w:t>A/5068/2017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RS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b.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(arrêt du Tribunal fédéral des assurances C 24/05 du 11 avril 2005 consid. 4.1). c.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d. Si le requérant ou son mandataire a été empêché, sans sa faute, d’agir dans le délai fixé, celui-ci est restitué pour autant que, dans les 30 jours à compter de celui</w:t>
      </w:r>
    </w:p>
    <w:p>
      <w:r>
        <w:t>- 4/5-</w:t>
      </w:r>
    </w:p>
    <w:p>
      <w:r>
        <w:t>A/5068/2017 où l’empêchement a cessé, le requérant ou son mandataire ait déposé une demande motivée de restitution et ait accompli l’acte omis (art. 41 LPGA).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La jurisprudence est stricte et il faut un véritable cas de force majeure, la maladie ne pouvant impliquer une absence de faute que si elle empêche effectivement l'intéressé d'agir par lui-même ou par l'entremise d'un représentant (T. TANQUEREL, Manuel de droit administratif, 2011, n° 1348).</w:t>
      </w:r>
    </w:p>
    <w:p>
      <w:r>
        <w:rPr>
          <w:b/>
        </w:rPr>
        <w:t>E. 4</w:t>
      </w:r>
    </w:p>
    <w:p>
      <w:r>
        <w:t>En l'occurrence, la décision querellée a été notifiée au mandataire de l’intéressée le 10 novembre 2017, de sorte que le délai de recours de trente jours a commencé à courir le 11 novembre 2017 et est parvenu à échéance le dimanche 10 décembre 2017, délai reporté au prochain jour utile, soit au lundi 11 décembre 2017. Force est ainsi de constater que le recours interjeté le 27 décembre 2017 ne l’a pas été en temps utile.</w:t>
      </w:r>
    </w:p>
    <w:p>
      <w:r>
        <w:rPr>
          <w:b/>
        </w:rPr>
        <w:t>E. 5</w:t>
      </w:r>
    </w:p>
    <w:p>
      <w:r>
        <w:t>Reste à examiner la possibilité d’une restitution du délai de recours au sens de l'art. 41 al. 1 LPGA. Il y a à cet égard lieu de constater que l’intéressée n'a invoqué aucun empêchement expliquant la tardiveté de son recours.</w:t>
      </w:r>
    </w:p>
    <w:p>
      <w:r>
        <w:rPr>
          <w:b/>
        </w:rPr>
        <w:t>E. 6</w:t>
      </w:r>
    </w:p>
    <w:p>
      <w:r>
        <w:t>En conséquence, le recours ne peut qu'être déclaré irrecevable pour cause de tardiveté.</w:t>
      </w:r>
    </w:p>
    <w:p>
      <w:r>
        <w:t>- 5/5-</w:t>
      </w:r>
    </w:p>
    <w:p>
      <w:r>
        <w:t>A/5068/2017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