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ATAS/162/2015 vom 2. März 2015</w:t>
      </w:r>
    </w:p>
    <w:p>
      <w:r>
        <w:t>GE Cour de justice, 2015-03-02, FR</w:t>
      </w:r>
    </w:p>
    <w:p>
      <w:r>
        <w:rPr>
          <w:b/>
        </w:rPr>
        <w:t xml:space="preserve">Quelle: </w:t>
      </w:r>
      <w:r>
        <w:t>https://mcp.opencaselaw.ch/entscheid/ge_gerichte_ATAS_162_2015</w:t>
      </w:r>
    </w:p>
    <w:p>
      <w:r>
        <w:t>FR: GE_GERICHTE ATAS/162/2015 du 2 mars 2015</w:t>
      </w:r>
    </w:p>
    <w:p>
      <w:r>
        <w:t>IT: GE_GERICHTE ATAS/162/2015 del 2 marzo 2015</w:t>
      </w:r>
    </w:p>
    <w:p>
      <w:pPr>
        <w:pStyle w:val="Heading2"/>
      </w:pPr>
      <w:r>
        <w:t>Erwägungen</w:t>
      </w:r>
    </w:p>
    <w:p>
      <w:r>
        <w:rPr>
          <w:b/>
        </w:rPr>
        <w:t>E. 1</w:t>
      </w:r>
    </w:p>
    <w:p>
      <w:r>
        <w:t>La recevabilité du recours et la compétence de la chambre de céans pour juger du cas d’espèce ont déjà été examinées et confirmées à l'occasion de l'arrêt incident du 29 septembre 2014, rejetant la requête en rétablissement de l'effet suspensif.</w:t>
      </w:r>
    </w:p>
    <w:p>
      <w:r>
        <w:rPr>
          <w:b/>
        </w:rPr>
        <w:t>E. 2</w:t>
      </w:r>
    </w:p>
    <w:p>
      <w:r>
        <w:t>Le litige porte sur la question de savoir si les troubles psychiques présentés par le recourant sont en lien de causalité, et en l'espèce en lien de causalité adéquate, avec l'accident du 18 septembre 2013,.</w:t>
      </w:r>
    </w:p>
    <w:p>
      <w:r>
        <w:rPr>
          <w:b/>
        </w:rPr>
        <w:t>E. 3</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w:t>
      </w:r>
    </w:p>
    <w:p>
      <w:r>
        <w:t>A/2702/2014 - 7/13 - (ATF 119 V 335 consid. 1 ; ATF 118 V 286 consid. 1b et les références) et adéquate avec l'événement assuré (ATF 125 V 456 consid. 5a et les références). a) On rappellera, quand bien même la question de la causalité naturelle n'est pas litigieuse dans le cas particulier, que l'exigence afférente au rapport de causalité naturelle est remplie lorsqu'il y a lieu d'admettre que, sans l'événement dommageable de caractère accidentel, le dommage ne se serait pas produit du tout, ou qu'il ne serait pas survenu de la même manière. b)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Dans le cas d'espèce, le lien de causalité naturel entre l'accident et les conséquences de l'accident en tant qu'il a provoqué l'atteinte physique, selon le diagnostic posé immédiatement après l'accident, au service des urgences des HUG, soit un coup du lapin, sans lésions objectivables, le scanner cérébral et cervical n'ayant pas révélé de lésion traumatique, mais mis en évidence des troubles dégénératifs C5-C6, les prestations découlant de la LAA ont été prises en charge par l'intimée jusqu'au 18 décembre 2013 inclusivement, date à laquelle le statu quo sine ou ante était atteint, selon l'avis du médecin-conseil de l'assureur.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w:t>
      </w:r>
    </w:p>
    <w:p>
      <w:r>
        <w:t>A/2702/2014 - 8/13 -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w:t>
      </w:r>
    </w:p>
    <w:p>
      <w:r>
        <w:rPr>
          <w:b/>
        </w:rPr>
        <w:t>E. 4</w:t>
      </w:r>
    </w:p>
    <w:p>
      <w:r>
        <w:t>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w:t>
      </w:r>
    </w:p>
    <w:p>
      <w:r>
        <w:t>A/2702/2014 - 9/13 - 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Nonobstant ce qui précède, même en présence d'un traumatisme de type «coup du lapin» à la colonne cervicale, d'un traumatisme analogue ou d'un traumatisme cranio-cérébral -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w:t>
      </w:r>
    </w:p>
    <w:p>
      <w:r>
        <w:t>A/2702/2014 - 10/13 -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Le Tribunal fédéral a rappelé que le critère de «circonstances concomitantes particulièrement dramatiques ou le caractère particulièrement impressionnant de l'accident»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Il a estimé que lorsque l'effet des forces en présence n'était pas dérisoire, l'accident est qualifié de gravité moyenne et non de moyen à la limite des cas graves (arrêt du Tribunal fédéral 8C_316/2008 du 29 décembre 2008 et les références). Ont été qualifiés de gravité moyenne un choc frontal entre deux voitures (ATA du 2 septembre 1997),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1er septembre 2006), un piéton renversé par une voiture avec traumatisme crânien (arrêt du Tribunal fédéral des assurances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 Lorsqu'un véhicule est percuté par l'arrière par une autre voiture alors qu'il se trouve à l'arrêt sur la chaussée en présélection à gauche, il s'agit d'un accident de</w:t>
      </w:r>
    </w:p>
    <w:p>
      <w:r>
        <w:t>A/2702/2014 - 11/13 - gravité moyenne (arrêt du Tribunal fédéral des assurances U 237/04 du 13 septembre 2005 consid. 4).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 88/98 du</w:t>
      </w:r>
    </w:p>
    <w:p>
      <w:r>
        <w:rPr>
          <w:b/>
        </w:rPr>
        <w:t>E. 7</w:t>
      </w:r>
    </w:p>
    <w:p>
      <w:r>
        <w:t>juin 1999). En l'espèce, la chambre constate tout d'abord que l'on se situe bien dans le cadre d'un accident ayant provoqué une atteinte physique, et une atteinte psychique additionnelle, ce qui conduit naturellement à apprécier le lien de causalité adéquate des troubles psychiques du recourant, conformément à la jurisprudence, en fonction du degré de gravité de l'accident. Elle considère également que c'est à juste titre que l'intimée a classé l'accident dans la catégorie du cas de peu de gravité, voire à la limite de degré de gravité moyenne. C'est donc bien à l'un des critères dégagés par la jurisprudence, dans la meilleure des hypothèses pour le recourant, que l'on doit évaluer le rapport de causalité adéquate des troubles psychiques, troubles dont l'existence est, en tant que tel, reconnue par les médecins qui ont eu à connaître du cas, parmi lesquels les experts désignés par l'assureur. C'est si vrai d'ailleurs que l'intimée, au vu des conclusions de son médecin-conseil, a considéré le cas sous l'angle de la maladie, et en l'espèce, a informé l'employeur de ce que les indemnités journalières dès le 1er octobre 2013 seraient prises en charge dans le cadre de la police perte de gain maladie, et communiqué ses décisions à l'assureur-maladie, pour la prise en cas en charge de ce cas par l'AOS. On ne saurait suivre le recourant dans la description qu'il fait de l'accident tel qu'il l'aurait vécu. Elle ne cadre pas avec les éléments objectifs ressortant du dossier : ainsi, lorsqu'il évoque la vision d'un fourgon utilitaire fonçant directement sur lui et la violence du choc amplifié par la petitesse de l'habitacle du véhicule qu'il conduisait, l'autre véhicule impliqué, - en particulier lorsqu'on le voit dans un rétroviseur -, ne se distinguait guère d'une limousine normale ; la description du choc est elle aussi manifestement exagérée : lorsque le recourant dit avoir été percuté de plein fouet par un véhicule roulant à toute vitesse, cette description est incompatible avec la déformation peu importante des véhicules, y compris de la Smart qu'il conduisait. Ces constatations ne ressortent pas seulement du rapport de police, mais également de la description qu'il en a lui-même faite à l'hôpital : il portait la ceinture de sécurité, la vitesse au moment du choc était d'environ 40 km/h et sa voiture a été peu déformée. Ces éléments sont incompatibles avec un choc d'une exceptionnelle violence, comme ceux décrits dans les exemples tirés de la jurisprudence. Le recourant affirme en procédure s'être vu mourir au moment de la survenance de l'accident, mais il n'a pas fait état d'une telle impression lorsqu'il a été examiné par l'expert. Malgré l'exiguïté de l'habitacle de son véhicule, il n'a pas</w:t>
      </w:r>
    </w:p>
    <w:p>
      <w:r>
        <w:t>A/2702/2014 - 12/13 - dû être désincarcéré, il n'a pas perdu connaissance, il admet lui-même que les lésions physiques - dont il dit lui-même qu'elles ont été sans gravité -, n'ont pas été importantes, le traitement médical ne s'est pas prolongé sur une durée anormalement longue. Aucun des critères exigés par la jurisprudence citée n'est réalisé en l'espèce, et encore moins plusieurs d'entre eux, cumulés. 4. Au vu de ce qui précède, le recours sera rejeté et la décision sur opposition du 6 août 2014 confirmée. Le recourant, représenté par un mandataire qualifié, n'obtenant pas gain de cause, il n'a pas droit à des dépens (art. 61 let. g LPGA; art. 89H, al. 3 LPA). 5. Pour le surplus, la procédure est gratuite (art. 61 let. a LPGA).</w:t>
      </w:r>
    </w:p>
    <w:p>
      <w:r>
        <w:t>A/2702/2014 - 13/13 -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