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ATAS/162/2014 vom 4. Februar 2013</w:t>
      </w:r>
    </w:p>
    <w:p>
      <w:r>
        <w:t>GE Cour de justice, 2013-02-04, FR</w:t>
      </w:r>
    </w:p>
    <w:p>
      <w:r>
        <w:rPr>
          <w:b/>
        </w:rPr>
        <w:t xml:space="preserve">Quelle: </w:t>
      </w:r>
      <w:r>
        <w:t>https://mcp.opencaselaw.ch/entscheid/ge_gerichte_ATAS_162_2014</w:t>
      </w:r>
    </w:p>
    <w:p>
      <w:r>
        <w:t>FR: GE_GERICHTE ATAS/162/2014 du 4 février 2013</w:t>
      </w:r>
    </w:p>
    <w:p>
      <w:r>
        <w:t>IT: GE_GERICHTE ATAS/162/2014 del 4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A/2123/2013 - 10/19 -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2008.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4</w:t>
      </w:r>
    </w:p>
    <w:p>
      <w:r>
        <w:t>Le délai de recours est de 30 jours (art. 60 al. 1 LPGA). Interjeté dans la forme et le délai prévus par la loi, le recours est recevable (art. 56ss LPGA).</w:t>
      </w:r>
    </w:p>
    <w:p>
      <w:r>
        <w:rPr>
          <w:b/>
        </w:rPr>
        <w:t>E. 5</w:t>
      </w:r>
    </w:p>
    <w:p>
      <w:r>
        <w:t>Le litige porte sur le droit de la recourante à une rente entière d'invalidité, singulièrement sur la question de savoir si, postérieurement à la décision de l'OAI du 23 juin 2008, son état de santé a subi une modification notable influençant son degré d'invalidité et, partant, son droit à une rente d'invalidité.</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w:t>
      </w:r>
    </w:p>
    <w:p>
      <w:r>
        <w:t>A/2123/2013 - 11/19 -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8</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w:t>
      </w:r>
    </w:p>
    <w:p>
      <w:r>
        <w:t>A/2123/2013 - 12/19 -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La valeur probante d'une expertise ne peut être remise en doute du simple fait que son contenu est, d'un point de vue formel, présenté dans deux rapports séparés au lieu d'un seul. Ce qui importe, c'est que les conclusions finales résultent d'un dialogue interdisciplinaire entre les spécialistes impliqués (ATF non publié 9C 874/2011 du 17 juillet 2012,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w:t>
      </w:r>
    </w:p>
    <w:p>
      <w:r>
        <w:t>A/2123/2013 - 13/19 - 3a)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Dans un arrêt de principe publié à l'ATF 137 V 210,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w:t>
      </w:r>
    </w:p>
    <w:p>
      <w:r>
        <w:t>A/2123/2013 - 14/19 -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S'agissant plus particulièrement de la mise en œuvre d'une expertise consensuelle, le Tribunal fédéral a précisé dans un arrêt subséquent 9C_950/2011 du 9 mai 2012 (publié à l'ATF 138 V 271 consid. 1.1),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l'OAI ordonnera une expertise, en rendant une décision qui pourra être attaquée par l'assuré. Le Tribunal fédéral a encore récemment rappelé que depuis l'ATF 137 V 210, il existe en principe une obligation de la part des offices de l'assurance-invalidité de s'efforcer à mettre en œuvre une expertise consensuelle avant de rendre une décision (ATF non publié 9C_908/2012 du 22 février 2013, consid. 5.1).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il convient de déterminer si l'état de santé de la recourante s'est modifié entre la décision du 23 juin 2008, dernière décision reposant sur un examen matériel du droit à la rente, et la décision litigieuse du 23 mai 2013.</w:t>
      </w:r>
    </w:p>
    <w:p>
      <w:r>
        <w:t>A/2123/2013 - 15/19 - Pour répondre à cette question, il sied en premier lieu d'examiner la valeur probante des rapports d'expertise rhumatologique et psychiatrique des 26 et 30 avril 2012. Il y a lieu de relever que le rapport d'expertise rhumatologique du 26 avril 2012 repose sur une anamnèse détaillée effectuée en connaissance du dossier médical, sur les plaintes de la recourante et sur un examen clinique complet. Les diagnostics et limitations fonctionnelles retenus sont clairement exposés et les conclusions prises de concert par les deux experts, selon lesquelles la recourante présente une capacité de travail globale de 30% dans une activité lucrative adaptée dès 2008, sont motivées. En effet, ces conclusions tiennent compte d'une amélioration conséquente de la symptomatologie psychiatrique, bien qu'il y ait eu une péjoration de la symptomatologie rhumatismale, ainsi que des limitations fonctionnelles somatiques retenues. Sur le plan rhumatologique, l'expert a exposé que la symptomatologie douloureuse cervicale et lombaire de la recourante s'était progressivement péjorée dès 2008 puis s'était exacerbée en mai 2010 et qu'il persistait, malgré une intervention chirurgicale effectuée en juillet 2010, des cervicalgies irritatives avec paresthésies des mains ainsi qu'une tendinopathie du long chef du biceps. Dans la mesure où les limitations fonctionnelles somatiques retenues sont compatible avec l'exercice d'une activité de patrouilleuse scolaire, que cette activité a été exercée par la recourante à raison de 11 heures par semaine au moins jusqu'en juillet 2010, et qu'il ne ressort pas du rapport que ces atteintes somatiques se seraient significativement aggravées depuis juillet 2010, la capacité de travail globale de 30% retenue dans cette activité apparaît justifiée. En ce qui concerne le rapport d'expertise psychiatrique du 30 avril 2012, celui-ci repose également sur une anamnèse effectuée en connaissance du dossier médical, ainsi que sur les plaintes de la recourante et sur un examen clinique complet. Les conclusions de l'expert quant à l'existence, sur le plan psychiatrique, d'une capacité de travail totale dans l'activité habituelle adaptée dès 2008 sont également motivées. Après avoir exposé l'historique du dossier, l'anamnèse (familiale, professionnelle et psychosociale) de la recourante, ses plaintes et le status psychiatrique, le Dr G_________ a expliqué en substance qu'il ne retrouvait aucun symptôme des diagnostics psychiatriques envisagés. Selon son rapport, il a observé « des éléments d'un tableau de dépression chronique de l'humeur dont la sévérité est insuffisante pour justifier actuellement un diagnostic de trouble dépressif récurrent léger […], une absence de symptomatologie anxieuse ou dépressive significative d'un diagnostic singulier incapacitant, une absence de signe floride de la série psychotique et de critère CIM-10 de trouble de personnalité, ainsi que l'existence d'un tableau algique, sans grande intensité ni détresse ». L'expert rapporte également que la recourante lui a déclaré à plusieurs reprises une amélioration sensible de sa symptomatologie psychiatrique et l'arrêt de sa dépendance alcoolique dès 2008, suite à sa séparation avec son ancien compagnon. Sur la base de ces observations et de l'évolution favorable décrite par la recourante dès 2008, l'expert a écarté les diagnostics psychiatriques retenus dans le premier rapport d'expertise</w:t>
      </w:r>
    </w:p>
    <w:p>
      <w:r>
        <w:t>A/2123/2013 - 16/19 - bidisciplinaire, daté du 18 juin 2007. Si l'on peut regretter que l'expert n'ait pas mentionné dans son anamnèse les hospitalisations de la recourante intervenues en lien avec un état dépressif et une dépendance à l'alcool en décembre 2003, en novembre 2004, et en 2006, ce manque ne saurait toutefois à lui seul remettre en cause la valeur probante du rapport d'expertise du Dr G_________, compte tenu de l'amélioration convaincante retenue par l'expert dès l'année 2008, qui est corroborée par les déclarations de la recourante. Au vu de ce qui précède, les rapports d'expertise des 26 et 30 avril 2012 doivent a priori se voir reconnaître pleine valeur probante au sens de la jurisprudence. On constate également que l'amélioration décrite par le Dr G_________ est corroborée par les déclarations de la recourante ressortant du rapport d'enquête ménagère du 1er novembre 2012, selon lesquelles « son état dépressif va mieux grâce aux médicaments […] » et « la tête va très bien ». Les griefs de la recourante concernant la valeur probante du rapport d'expertise psychiatrique doivent être rejetés. En premier lieu, l'expert psychiatre ne s'est pas contredit en ne retenant aucun diagnostic alors que la recourante était sous traitement psychotrope, puisque celle-ci ne présentait au moment de l'examen plus de symptôme attestant d'un trouble psychiatrique. En effet, son traitement permettait à l'évidence de traiter efficacement ses affections psychiques, lesquelles n'avaient plus de conséquences sur sa capacité de travail. Par ailleurs, le fait que le dosage des traitements ne soit pas indiqué dans l'expertise n'a pas d'importance, dans la mesure où ceux-ci sont néanmoins énumérés et n'ont donc pas été ignorés. L'établissement de l'expertise psychiatrique sur la base d'un entretien unique ne remet pas non plus en cause sa valeur probante, puisque celle-ci est complète. L'argument selon lequel l'intimé n'aurait pas tenté de mettre en œuvre une expertise consensuelle contrairement aux réquisits de l'ATF 137 V 210 se révèle également mal fondé. On ne voit pas quel bénéfice la recourante pourrait tirer de la jurisprudence précitée, dans la mesure où elle n'a jamais fait part du moindre désaccord vis-à-vis de l'expertise précitée, qu'il s'agisse du principe de l'expertise, du choix des experts ou des questions qui leur ont été posées. On rappellera également que selon la jurisprudence (ATF 138 V 271 consid. 1.1), il incombait à la recourante, conformément au principe de la bonne foi, de faire valoir ses éventuelles objections dès que possible, ce qu'elle n'a jamais fait en l'espèce. Par ailleurs, bien que l'historique mentionné dans l'expertise psychiatrique puisse paraître sommaire, rien n'indique que le Dr G_________ ne se soit pas prononcé en pleine connaissance du dossier. En effet, le rapport d'expertise du 18 juin 2007 et le rapport médical du Dr F_________ du 15 septembre 2011, que le Dr G_________ a expressément mentionnés, constituaient au moment de l'examen les principaux documents pertinents sur le plan psychiatrique. Le rapport médical de la Dresse A_________ du 7 octobre 2011 n'évoque qu'une problématique purement somatique, et les rapports médicaux plus anciens sont résumés dans l'expertise du</w:t>
      </w:r>
    </w:p>
    <w:p>
      <w:r>
        <w:t>A/2123/2013 - 17/19 - 18 juin 2007. Contrairement à ce que laisse entendre la recourante, l'expert psychiatre n'a pas non plus procédé à une nouvelle appréciation d'une situation restée identique depuis 2007, puisqu'il ressort de son rapport une amélioration de la symptomatologie psychiatrique, que la recourante date elle-même de 2008. Les avis divergents exprimés par les Drs A_________ et F_________ dans leurs rapports respectifs ne permettent pas de s'écarter des conclusions de l'expertise. En effet, ces médecins traitants se sont limités à exprimer leur désaccord vis-à-vis de l'expertise sans apporter d'indice concret pour la mettre en doute, comme le requiert la jurisprudence. En outre, la capacité de travail et le pronostic qu'ils retiennent ne sont pas suffisamment motivés. Ils ne mettent pas non plus en exergue d'éléments dont les experts n'auraient pas tenu compte. Dans son rapport du 8 juillet 2013, le Dr I_________ indique que la recourante pourrait ne pas avoir décrit une symptomatologie compatible avec un épisode dépressif majeur parce qu'elle était sous traitement médicamenteux au moment de l'examen de l'expert psychiatre. Dans la mesure où ces traitements sont mentionnés dans le rapport du Dr G_________ et qu'il a tenu compte de l'effet de ces médicaments sur l'état de santé de la recourante, le Dr I_________ ne fait état d'aucun élément que ce dernier aurait ignoré, si bien que son avis ne remet pas non plus en cause les conclusions de l'expert. Au vu de ce qui précède, les conclusions des rapports d'expertise des 26 et 30 avril 2012 emportent la conviction de la Chambre de céans, de sorte qu'il sera retenu que la recourante présente, au degré de la vraisemblance prépondérante prévu par la jurisprudence, une capacité de travail de 30% dans l'activité lucrative adaptée de patrouilleuse, son état de santé global s'étant amélioré dans cette mesure, dès le 1er décembre 2008 et à tout le moins jusqu'à l'expertise rhumato-psychiatrique d'avril 2012.</w:t>
      </w:r>
    </w:p>
    <w:p>
      <w:r>
        <w:rPr>
          <w:b/>
        </w:rPr>
        <w:t>E. 12</w:t>
      </w:r>
    </w:p>
    <w:p>
      <w:r>
        <w:t>Postérieurement au mois d'avril 2012, l'état de santé psychique et somatique de la recourante ainsi que sa capacité de travail pourraient s'être aggravés, le dossier ne permettant toutefois pas de se prononcer en l'état sur ces éléments et partant, sur son degré d'invalidité à la date de la décision litigieuse. En effet, la recourante bénéficie d'un suivi psychiatrique auprès du Dr I_________ depuis le 25 janvier 2013, lequel retient dans son dernier rapport les diagnostics de trouble dépressif récurrent, épisode actuel moyen, avec syndrome somatique et de dépendance à l'alcool. En outre, la recourante allègue avoir tenté de se suicider le 4 mars 2013, ce qui confirme une possible aggravation sur le plan psychiatrique. Par ailleurs, celle- ci a subi une intervention chirurgicale pour une tumeur de l'oreille moyenne gauche le 23 avril 2013, non connue de l'intimé lorsque la décision litigieuse a été rendue. Ces éventuelles aggravations de l'état de santé ont toutes eu lieu avant que l'intimé ne rende sa décision en date du 23 mai 2013. Or, selon la jurisprudence, le juge des assurances sociales apprécie la légalité des décisions attaquées, en règle générale,</w:t>
      </w:r>
    </w:p>
    <w:p>
      <w:r>
        <w:t>A/2123/2013 - 18/19 - d’après l'état de fait existant au moment où la décision litigieuse a été rendue (ATF 121 V 366 consid. 1b et les références). Compte tenu des éléments médicaux susmentionnés, dont il sied de tenir compte puisque ceux-ci sont intervenus avant le prononcé de la décision litigieuse, il y a lieu de renvoyer le dossier à l'intimé pour instruction complémentaire, afin que celui-ci mette en œuvre une nouvelle expertise en médecine interne, rhumatologie et psychiatrie. Celle-ci pourra être réalisée par un complément d'expertise auprès des deux experts déjà mandatés par l'OAI ainsi que par une expertise en médecine interne, étant précisé que les conclusions communes devront être prises à la suite d'un concilium entre les experts. Il conviendra que ces derniers se déterminent sur l'éventuelle aggravation de l'état de santé et sur la capacité de travail de la recourante pour la période du 19 avril 2012 jusqu'au 23 mai 2013, date de la décision litigieuse. Compte tenu du renvoi du dossier à l'intimé, il n'est pas nécessaire d'ordonner une expertise judiciaire ni d'entendre les Drs A_________, I_________ et F_________, ainsi que le fils de la recourante.</w:t>
      </w:r>
    </w:p>
    <w:p>
      <w:r>
        <w:rPr>
          <w:b/>
        </w:rPr>
        <w:t>E. 13</w:t>
      </w:r>
    </w:p>
    <w:p>
      <w:r>
        <w:t>Au vu de ce qui précède, le recours est partiellement admis, la décision litigieuse annulée et la cause renvoyée à l'intimé, à charge pour celui-ci de mettre en œuvre le complément d'expertise susmentionné, puis si les conclusions des experts l'imposent, une nouvelle enquête menagère. La recourante, représentée par un conseil, obtient partiellement gain de cause, de sorte qu'une indemnité doit lui être accordée à titre de dépens (art. 61 let. g LPGA). Comme celle-ci n'a pas communiqué les faits justifiant le renvoi avant le prononcé de la décision litigieuse, entraînant ainsi des frais de procédure inutiles, il se justifie de réduire légèrement le montant de l'indemnité auquel elle a droit (ATFA non publié I 380/01 du 6 mai 2002, consid. 4). Après réduction, son indemnité de dépens s'élève à 1'700 fr. La procédure de recours en matière de contestations portant sur l'octroi ou le refus de prestations de l'assurance-invalidité étant soumise à des frais de justice, un émolument de 200 fr. est mis à charge de l'intimé (art. 69 al. 1bis LAI).</w:t>
      </w:r>
    </w:p>
    <w:p>
      <w:r>
        <w:t>A/2123/2013 - 19/19 -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