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ATAS/162/2009 vom 17. Februar 2009</w:t>
      </w:r>
    </w:p>
    <w:p>
      <w:r>
        <w:t>GE Cour de justice, 2009-02-17, FR</w:t>
      </w:r>
    </w:p>
    <w:p>
      <w:r>
        <w:rPr>
          <w:b/>
        </w:rPr>
        <w:t xml:space="preserve">Quelle: </w:t>
      </w:r>
      <w:r>
        <w:t>https://mcp.opencaselaw.ch/entscheid/ge_gerichte_ATAS_162_2009</w:t>
      </w:r>
    </w:p>
    <w:p>
      <w:r>
        <w:t>FR: GE_GERICHTE ATAS/162/2009 du 17 février 2009</w:t>
      </w:r>
    </w:p>
    <w:p>
      <w:r>
        <w:t>IT: GE_GERICHTE ATAS/162/2009 del 17 febbraio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LPGA, entrée en vigueur le 1er janvier 2003, est applicable au cas d'espèce.</w:t>
      </w:r>
    </w:p>
    <w:p>
      <w:r>
        <w:t>A/2255/2008 - 5/10 -</w:t>
      </w:r>
    </w:p>
    <w:p>
      <w:r>
        <w:rPr>
          <w:b/>
        </w:rPr>
        <w:t>E. 3</w:t>
      </w:r>
    </w:p>
    <w:p>
      <w:r>
        <w:t>Le recours, interjeté dans les forme et délai prévus par la loi, est recevable (art. 56 à 60 LPGA).</w:t>
      </w:r>
    </w:p>
    <w:p>
      <w:r>
        <w:rPr>
          <w:b/>
        </w:rPr>
        <w:t>E. 4</w:t>
      </w:r>
    </w:p>
    <w:p>
      <w:r>
        <w:t>La question litigieuse est de déterminer si l'état de santé du recourant ouvre le droit aux prestations de l'assurance-invalidité.</w:t>
      </w:r>
    </w:p>
    <w:p>
      <w:r>
        <w:rPr>
          <w:b/>
        </w:rPr>
        <w:t>E. 5</w:t>
      </w:r>
    </w:p>
    <w:p>
      <w:r>
        <w:t>On rappellera qu'est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Le droit à la rente est déterminé par l’art. 28 al. 1er LAI - dans sa teneur jusqu'au 31 décembre 2003 - qui dispose que l’assuré a droit à une rente s’il est invalide à 40 % au moins. La rente est entière pour une invalidité de 66 2/3 % au moins, elle est d’une demie pour une invalidité de 50 % au moins et d’un quart pour une invalidité de 40 % au moins, en vertu du deuxième alinéa. Depuis l'entrée en vigueur, le 1er janvier 2004, de la novelle du 21 mars 2003 modifiant la LAI (4ème révision l'assuré a droit à une rente s'il est invalide à 40 % au moins, puis la rente est échelonnée comme suit, selon le taux d'invalidité : 40 % au moins un quart, 50 % au moins une demie, 60 % au moins trois-quarts, 70 % au moins rente entière.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 Le Tribunal fédéral des assurances a considéré que la fibromyalgie présente de nombreux points communs avec les troubles somatoformes douloureux, de sorte qu'il se justifie, sous l'angle juridique, et en l'état actuel des connaissances, d'appliquer par analogie les principes développés par la jurisprudence en matière de troubles somatoformes douloureux, lorsqu'il s'agit d'apprécier le caractère invalidant d'une fibromyalgie (ATF 132 V 65 consid. 4.1). Il existe une présomption que les troubles somatoformes douloureux ou leurs effets peuvent être</w:t>
      </w:r>
    </w:p>
    <w:p>
      <w:r>
        <w:t>A/2255/2008 - 6/10 - surmontés par un effort de volonté raisonnablement exigible (ATF 131 V 50). Il y a lieu de poser la même présomption en présence d'une fibromyalgie (ATF 132 V 71 consid. 4.2.1). Une expertise psychiatrique est, en principe, nécessaire quand il s'agit de se prononcer sur l'incapacité de travail que les troubles somatoformes douloureux sont susceptibles d'entraîner (ATF 130 V 353 consid. 2.2.2 et 399 consid. 5.3.2). Quand bien même le diagnostic de fibromyalgie est d'abord le fait d'un médecin rhumatologue, il convient ici aussi d'exiger le concours d'un médecin spécialiste en psychiatrie, d'autant plus que les facteurs psychosomatiques ont, selon l'opinion dominante, une influence décisive sur le développement de cette atteinte à la santé (ATF 132 V 72 consid. 4.3).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Plus ces critères se manifestent et imprègnent les constatations médicales, moins on admettra l'exigibilité d'un effort de volonté (MEYER-BLASER, Der Rechtsbegriff der Arbeitsunfähigkeit und seine Bedeutung in der Sozialversicherung, in: Schmerz und Arbeitsunfähigkeit, St. Gall 2003, p. 77).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w:t>
      </w:r>
    </w:p>
    <w:p>
      <w:r>
        <w:t>A/2255/2008 - 7/10 - S'agissant des troubles dépressifs, il y a lieu d'observer que selon la doctrine médicale (cf. notamment DILLING/MOMBOUR/SCHMIDT [Hrsg.], Internationale Klassifikation psychischer Störungen, ICD-10 Kapitel V [F], 4ème édition, p. 191) sur laquelle s'appuie le TFA,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356 consid. 3.3.1 in fine et les références citées).</w:t>
      </w:r>
    </w:p>
    <w:p>
      <w:r>
        <w:rPr>
          <w:b/>
        </w:rPr>
        <w:t>E. 6</w:t>
      </w:r>
    </w:p>
    <w:p>
      <w:r>
        <w:t>Par ailleurs,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En outre,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Cette jurisprudence s'applique aussi lorsqu'un assuré entend remettre en cause, au moyen d'une expertise privée, les conclusions d'une expertise aménagée par l'assureur-accidents ou par un office AI (ATFA non publié du 26 octobre 2004 en la cause I 205/04).</w:t>
      </w:r>
    </w:p>
    <w:p>
      <w:r>
        <w:rPr>
          <w:b/>
        </w:rPr>
        <w:t>E. 7</w:t>
      </w:r>
    </w:p>
    <w:p>
      <w:r>
        <w:t>Dans le cas d'espèce, une fibromyalgie a été évoquée à plusieurs reprises, puis écartée par l'expert N__________, au motif que l'examen clinique était atypique. L'expert psychiatre de la CRR a toutefois retenu un trouble somatoforme douloureux, diagnostic que le psychiatre traitant du recourant confirme.</w:t>
      </w:r>
    </w:p>
    <w:p>
      <w:r>
        <w:t>A/2255/2008 - 8/10 - L'expertise somatique ne prête pas le flanc à la critique, et n'est d'ailleurs pas mise en cause par le recourant. Il en ressort que l'expert ne met pas en doute les douleurs alléguées mais ne peut poser de diagnostic précis. Une suspicion de syndrome toxique a été écartée par l'instruction de la SUVA. L'expert préconisant un examen psychiatrique, celui-ci a été effectué dans le cadre de l'expertise pluridisciplinaire de la CRR. Le Tribunal n'est pas convaincu par cette expertise, en particulier par le rapport de l'expert psychiatre. L'impression qui s'en dégage est que l'expert a posé le diagnostic de troubles somatoformes douloureux à défaut d'autres choses. Cela étant, il ne retient aucun trouble psychique. Le recourant est euthymique, ce qui frappe d'ailleurs également l'expert somatique de la CRR, qui décrit un patient souriant. À noter que le recourant lui-même ne se plaint pas d'un état dépressif. Au moment de l'expertise, le recourant ne bénéficiait pas d'un suivi psychiatrique. Force est de constater que les critères permettant de retenir un caractère invalidant au trouble somatoforme douloureux ne sont pas réalisés, en tout cas en ce qui concerne la période précédant la prise de décision par l'OCAI. Non seulement il n'y a pas de comorbidité psychiatrique, mais on ne peut retenir d'état psychique cristallisé, puisque précisément le recourant ne fait l'objet d'aucun soin, de sorte que l'on ignore ce qu'un suivi pourrait apporter comme amélioration. De même une perte d'intégration sociale ne peut-elle être retenue, car comme l'a rappelé l'OCAI le recourant se dit entouré et soutenu par ses amis et sa famille. Encore une fois, pour ce qui concerne la période antérieure à la décision litigieuse. Par ailleurs, le recourant souffre d'affections corporelles chroniques, mais qui n'ont pas pu faire l'objet d'un diagnostic précis, en dehors du diagnostic initial, pour lequel le recourant a été opéré. Le processus maladif s'étend, effectivement, sur plusieurs années sans rémission durable (symptomatologie inchangée ou progressive), de sorte que ce critère est rempli. C'est toutefois le seul, car l'on ne peut pas non plus retenir l'échec de traitements ambulatoires ou stationnaires conformes aux règles de l'art, car l'expert a relevé que les traitements dispensés étaient insatisfaisants. Dès lors, pour ce qui concerne la période allant jusqu'au 19 mai 2008, force est de constater qu'aucun trouble objectivé ne justifie l'incapacité de travail, et que le trouble somatoforme douloureux n'est pas invalidant au sens de la jurisprudence.</w:t>
      </w:r>
    </w:p>
    <w:p>
      <w:r>
        <w:rPr>
          <w:b/>
        </w:rPr>
        <w:t>E. 8</w:t>
      </w:r>
    </w:p>
    <w:p>
      <w:r>
        <w:t>Autre est la question de savoir ce qu'il en est depuis l'été 2008. Les documents médicaux produits par le recourant font état, en effet, d'une aggravation de son état de santé, et plus particulièrement d'un diagnostic de trouble dépressif récurrent avec idées suicidaires. On peut s'étonner de ce diagnostic, puisqu'il suppose que plusieurs épisodes dépressifs ont eu lieu, alors que rien de tel ne ressort du dossier. Toutefois, il faut rappeler que jusqu'il y a peu le recourant ne bénéficiait pas des soins d'un psychiatre, et que la seule évaluation psychiatrique qui a été effectuée est celle de la CRR, dont le Tribunal a relevé le caractère peu convaincant. Cela étant, les idées suicidaires doivent être prises au sérieux et investiguées. Il est difficile, en l'état, de discerner si l'état actuel du recourant ne relève pas d'une réaction au refus</w:t>
      </w:r>
    </w:p>
    <w:p>
      <w:r>
        <w:t>A/2255/2008 - 9/10 - des prestations de l'assurance invalidité, puisque cette remarque figure dans les motifs de l'hospitalisation à la CLINIQUE GENEVOISE DE MONTANA. Selon une jurisprudence constante, le juge des assurances sociales apprécie la légalité des décisions attaquées, en règle générale, d'après l'état de fait existant au moment où la décision litigieuse a été rendue (ATF 121 V 366 consid. 1b et les arrêts cités). Les faits survenus postérieurement, et qui ont modifié cette situation, doivent normalement faire l'objet d'une nouvelle décision administrative (ATF 121 V 366 consid. 1b et la référence).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ATFA du 18 juillet 2005, I 321/04, consid. 5).</w:t>
      </w:r>
    </w:p>
    <w:p>
      <w:r>
        <w:rPr>
          <w:b/>
        </w:rPr>
        <w:t>E. 9</w:t>
      </w:r>
    </w:p>
    <w:p>
      <w:r>
        <w:t>En l'occurrence, le Tribunal considère que l'état psychique du recourant doit être investigué à nouveau par l'OCAI, dans le cadre de l'examen d'une éventuelle aggravation de l'état de santé. Pour le surplus, la décision de refus de prestations en tant qu'elle porte sur la période antérieure au 19 mai 2008 sera confirmée, et le recours rejeté. Au vu de ce qui précède, il sera toutefois renoncé à la perception d'un émolument.</w:t>
      </w:r>
    </w:p>
    <w:p>
      <w:r>
        <w:t>A/2255/2008 - 10/10 -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