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ATAS/1628/2009 vom 10. Dezember 2009</w:t>
      </w:r>
    </w:p>
    <w:p>
      <w:r>
        <w:t>GE Cour de justice, 2009-12-10, FR</w:t>
      </w:r>
    </w:p>
    <w:p>
      <w:r>
        <w:rPr>
          <w:b/>
        </w:rPr>
        <w:t xml:space="preserve">Quelle: </w:t>
      </w:r>
      <w:r>
        <w:t>https://mcp.opencaselaw.ch/entscheid/ge_gerichte_ATAS_1628_2009</w:t>
      </w:r>
    </w:p>
    <w:p>
      <w:r>
        <w:t>FR: GE_GERICHTE ATAS/1628/2009 du 10 décembre 2009</w:t>
      </w:r>
    </w:p>
    <w:p>
      <w:r>
        <w:t>IT: GE_GERICHTE ATAS/1628/2009 del 10 dicembre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le 5 février 2009, le recours contre la décision de l’OCAI du 12 janvier 2009 intervient en temps utile (art. 60 al. 1 LPGA). Les autres conditions prévues par les art. 56 et ss LPGA étant réalisées, le recours est recevable.</w:t>
      </w:r>
    </w:p>
    <w:p>
      <w:r>
        <w:rPr>
          <w:b/>
        </w:rPr>
        <w:t>E. 4</w:t>
      </w:r>
    </w:p>
    <w:p>
      <w:r>
        <w:t>Le litige porte sur le droit du recourant à une rente de l’assurance-invalidité, et plus spécifiquement sur la détermination de l’étendue de son invalidité.</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w:t>
      </w:r>
    </w:p>
    <w:p>
      <w:r>
        <w:t>A/359/2009 - 10/15 -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w:t>
      </w:r>
    </w:p>
    <w:p>
      <w:r>
        <w:t>A/359/2009 - 11/15 -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Il sera toutefois précisé que les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w:t>
      </w:r>
    </w:p>
    <w:p>
      <w:r>
        <w:rPr>
          <w:b/>
        </w:rPr>
        <w:t>E. 7</w:t>
      </w:r>
    </w:p>
    <w:p>
      <w:r>
        <w:t>En vertu, principe de la libre appréciation des preuves, le juge apprécie librement les preuves médicales qu'il a recueillies, sans être lié par des règles formelles, en</w:t>
      </w:r>
    </w:p>
    <w:p>
      <w:r>
        <w:t>A/359/2009 - 12/15 -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(ATAS/132/2007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w:t>
      </w:r>
    </w:p>
    <w:p>
      <w:r>
        <w:rPr>
          <w:b/>
        </w:rPr>
        <w:t>E. 8</w:t>
      </w:r>
    </w:p>
    <w:p>
      <w:r>
        <w:t>En l’espèce, d’un point de vue médical, il y a lieu de tenir compte de l’avis du SMR. En effet, d’une part, cet avis est rédigé par un spécialiste du domaine utile à la résolution de l’état de fait médical, comprend une anamnèse, et prend en compte les plaintes du recourant. Il est détaillé et convainquant, notamment lorsqu’il explique pour quels motifs il s’écarte d’autres avis médicaux. D’autre part, la Dresse N____________, médecin traitant, reconnaît que les limitations fonctionnelles énumérées sont exactes. Les avis divergent s’agissant de la capacité de travail dans une activité adaptée. A ce sujet, il faut constater que le Dr O____________ ne se prononce pas de manière détaillée sur cette question. Quant au Dr M____________, il a suggéré un traitement antalgique et de physiothérapie active et indiqué qu’à l’issue de ces mesures le recourant devrait être en mesure de reprendre son activité professionnelle, à défaut de quoi une nouvelle expertise devait être mise en place. Ainsi, dès lors que le SMR a retenu une nette amélioration de la mobilité mesurée par rapport aux examens des Dr M____________ et L____________, l’on ne voit pas que l’avis du SMR soit contradictoire avec celui de ces médecins, qui avaient</w:t>
      </w:r>
    </w:p>
    <w:p>
      <w:r>
        <w:t>A/359/2009 - 13/15 - d’ailleurs tous les deux suggéré une nouvelle expertise en l’absence d’amélioration de la capacité de travail. S’agissant enfin de l’opinion de la Dresse N____________, il faut relever que ses avis sont fort brefs et non expliqués. Ils ne permettent pas de comprendre en quoi l’avis du SMR ne serait pas adéquat. De surcroît, comme déjà rappelé, la Dresse N____________ a confirmé les limitations fonctionnelles retenues par le SMR. Enfin, la Dresse N____________, lors de son audition par le Tribunal a déterminé le taux d’incapacité de travail selon une mauvaise lecture des limitations fonctionnelles retenues. Le SMR ne limite en effet pas l’activité à deux heures par jour, mais limite la position debout à 30 minutes d’affilée et la position assise à une heure et demi d’affilée. Il n’en découle pas une capacité de travail maximale de deux heures par jour, dès lors que ces positions peuvent être adoptées plusieurs fois par jour. Ainsi, convient-il de suivre les conclusions du SMR quant à une capacité de 100% dans une activité adaptée aux limitations fonctionnelles. Reste à déterminer s’il est possible de déterminer dans quel domaine une activité adaptée pourrait être exercée, une éventuelle diminution de rendement et les éléments permettant, cas échéant, d’appliquer une réduction du salaire statistique. A cet égard, il convient de compléter les données médicales par des renseignements d’ordre professionnels. C’est ainsi à juste titre que l’OAI a mis sur pied un stage au sein des EPI. Ce stage a toutefois été interrompu avant que des conclusions suffisamment probantes aient pu être tirées. Le Tribunal exprime en effet des réserves importantes quant au taux de rendement mesuré par les EPI, car il est apparu que ce taux de rendement était fondé principalement, voire exclusivement, sur des éléments subjectifs. Ceci étant, il apparaît qu’il a été mis fin à la mesure en raison du comportement du recourant. En effet, bien que le stage ait été interrompu suite à un certificat médical de la Dresse N____________, la mesure aurait pu être reprise après une amélioration de l’état médical. Or, selon la décision de l’OAI, il a été renoncé à la mesure d’observation professionnelle en raison de l’attitude du recourant. La décision entreprise est dès lors contraire au droit, et spécifiquement à l’art. 21 al. 4 LPGA qui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une mise en demeure écrite l'avertissant des conséquences juridiques et impartissant à l’assuré un délai de réflexion convenable doit lui avoir été adressée. Cette procédure est un préalable impératif avant tout refus de prestations en application de l'art. 21 al. 4 LPGA (SVR 2005 IV</w:t>
      </w:r>
    </w:p>
    <w:p>
      <w:r>
        <w:t>A/359/2009 - 14/15 - n° 30 p. 113). Il doit, d'autre part, exister un lien de causalité entre le comportement reproché et le dommage susceptible d'être causé à l'assurance (ATFA non publié du</w:t>
      </w:r>
    </w:p>
    <w:p>
      <w:r>
        <w:rPr>
          <w:b/>
        </w:rPr>
        <w:t>E. 13</w:t>
      </w:r>
    </w:p>
    <w:p>
      <w:r>
        <w:t>octobre 2005, I 457/05 consid. 2). En effet, il a été renoncé à la mesure d’observation professionnelle sans qu’une mise en demeure écrite n’ait été adressée au recourant, alors que si la mesure avait été menée à son terme elle aurait permis de récolter des éléments essentiels en vue du calcul du degré d’invalidité. Il convient ainsi d’annuler la décision entreprise, et de renvoyer le dossier a l’OAI afin qu’il complète l’instruction par une observation professionnelle, après avoir procédé conformément à l’art. 21 al. 4 LPGA en adressant une mise en demeure écrite au recourant. A cet égard, et conformément à la jurisprudence rappelée ci-dessus (consid. 6), le Tribunal estime qu’il est, en l’espèce, indispensable que l’expert médical et le conseiller en matière professionnelle exercent leurs tâches en étroite collaboration 9. Le recours sera ainsi partiellement admis. 10. Le recourant obtenant partiellement gain de cause, une indemnité de 1’500 fr. lui est octroyée, à titre de dépens. 11. Un émolument de 500 fr. est mis à charge de l’intimé, qui succombe (art. 69 al. 1bis LAI)</w:t>
      </w:r>
    </w:p>
    <w:p>
      <w:r>
        <w:t>A/359/2009 - 15/15 -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