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ATAS/161/2019 vom 26. Februar 2019</w:t>
      </w:r>
    </w:p>
    <w:p>
      <w:r>
        <w:t>GE Cour de justice, 2019-02-26, FR</w:t>
      </w:r>
    </w:p>
    <w:p>
      <w:r>
        <w:rPr>
          <w:b/>
        </w:rPr>
        <w:t xml:space="preserve">Quelle: </w:t>
      </w:r>
      <w:r>
        <w:t>https://mcp.opencaselaw.ch/entscheid/ge_gerichte_ATAS_161_2019</w:t>
      </w:r>
    </w:p>
    <w:p>
      <w:r>
        <w:t>FR: GE_GERICHTE ATAS/161/2019 du 26 février 2019</w:t>
      </w:r>
    </w:p>
    <w:p>
      <w:r>
        <w:t>IT: GE_GERICHTE ATAS/161/2019 del 26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b de la loi sur l'organisation judiciaire du 26 septembre 2010 (LOJ - E 2 05), la chambre des assurances sociales de la Cour de justice connaît en instance unique des contestations relatives à la prévoyance professionnelle opposant institutions de prévoyance, employeurs et ayants droit, y compris en cas de divorce, ainsi qu’aux prétentions en responsabilité (art. 331 à 331e du Code des obligations [CO - RS 220]; art. 52, 56a, al. 1, et art. 73 de la loi fédérale sur la prévoyance professionnelle, vieillesse, survivants et invalidité du 25 juin 1982 [LPP - RS 831.40]; art. 142 du Code civil [CC - RS 210]). Sa compétence pour juger du cas d’espèce est ainsi établie.</w:t>
      </w:r>
    </w:p>
    <w:p>
      <w:r>
        <w:rPr>
          <w:b/>
        </w:rPr>
        <w:t>E. 2</w:t>
      </w:r>
    </w:p>
    <w:p>
      <w:r>
        <w:t>Par courrier du 19 février 2019, la fondation a déclaré retirer sa demande, la société s’étant acquittée du montant réclamé.</w:t>
      </w:r>
    </w:p>
    <w:p>
      <w:r>
        <w:rPr>
          <w:b/>
        </w:rPr>
        <w:t>E. 3</w:t>
      </w:r>
    </w:p>
    <w:p>
      <w:r>
        <w:t>Dit que les dépens sont compensés.</w:t>
      </w:r>
    </w:p>
    <w:p>
      <w:r>
        <w:rPr>
          <w:b/>
        </w:rPr>
        <w:t>E. 4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