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ATAS/161/2016 vom 25. Februar 2016</w:t>
      </w:r>
    </w:p>
    <w:p>
      <w:r>
        <w:t>GE Cour de justice, 2016-02-25, FR</w:t>
      </w:r>
    </w:p>
    <w:p>
      <w:r>
        <w:rPr>
          <w:b/>
        </w:rPr>
        <w:t xml:space="preserve">Quelle: </w:t>
      </w:r>
      <w:r>
        <w:t>https://mcp.opencaselaw.ch/entscheid/ge_gerichte_ATAS_161_2016</w:t>
      </w:r>
    </w:p>
    <w:p>
      <w:r>
        <w:t>FR: GE_GERICHTE ATAS/161/2016 du 25 février 2016</w:t>
      </w:r>
    </w:p>
    <w:p>
      <w:r>
        <w:t>IT: GE_GERICHTE ATAS/161/2016 del 25 febbraio 2016</w:t>
      </w:r>
    </w:p>
    <w:p>
      <w:pPr>
        <w:pStyle w:val="Heading2"/>
      </w:pPr>
      <w:r>
        <w:t>Erwägungen</w:t>
      </w:r>
    </w:p>
    <w:p>
      <w:r>
        <w:rPr>
          <w:b/>
        </w:rPr>
        <w:t>E. 1</w:t>
      </w:r>
    </w:p>
    <w:p>
      <w:r>
        <w:t>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interjeté dans les forme et délai prévus par la loi, est recevable.</w:t>
      </w:r>
    </w:p>
    <w:p>
      <w:r>
        <w:rPr>
          <w:b/>
        </w:rPr>
        <w:t>E. 3</w:t>
      </w:r>
    </w:p>
    <w:p>
      <w:r>
        <w:t>Le litige porte uniquement sur la question de savoir si des intérêts moratoires sont dus par le recourant à l’intimée.</w:t>
      </w:r>
    </w:p>
    <w:p>
      <w:r>
        <w:rPr>
          <w:b/>
        </w:rPr>
        <w:t>E. 4</w:t>
      </w:r>
    </w:p>
    <w:p>
      <w:r>
        <w:t>Selon l’art. 26 al. 1 LPGA, les créances de cotisations échues sont soumises à la perception d’intérêts moratoires. L'art. 41 bis du règlement du 31 octobre 1947 sur l'assurance vieillesse et survivants (RAVS) confirme l'obligation, pour les personnes tenues de verser des cotisations, de s'acquitter d'intérêts moratoires sur les cotisations arriérées réclamées pour des années antérieures, dès le 1er janvier suivant la fin de l'année civile pour laquelle les cotisations sont dues (art. 41bis al. 1 let. b RAVS). Il est précisé que les intérêts ne cessent de courir que lorsque les cotisations sont intégralement payées (art. 41bis al. 2 RAVS). Quant au taux d’intérêt,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w:t>
      </w:r>
    </w:p>
    <w:p>
      <w:r>
        <w:rPr>
          <w:b/>
        </w:rPr>
        <w:t>E. 5</w:t>
      </w:r>
    </w:p>
    <w:p>
      <w:r>
        <w:t>Le recourant proteste de sa bonne foi et fait remarquer qu’aucune faute ne lui est imputable, ce qui n’est d’ailleurs pas contesté. Néanmoins, ainsi que l’a souligné l’intimée dans sa réponse,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Par ailleurs, la caisse ne pouvait effectivement pas renoncer à une part des intérêts réclamés. Dans un arrêt du 21 août 2003 (H 268/02, confirmé dans un arrêt H 328/02 du 30 janvier 2004), le TFA a rappelé que l'AVS doit se montrer</w:t>
      </w:r>
    </w:p>
    <w:p>
      <w:r>
        <w:t>A/4333/2015 - 4/5 - intransigeante,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Eu égard aux considérations qui précèdent, le recours ne peut qu’être rejeté.</w:t>
      </w:r>
    </w:p>
    <w:p>
      <w:r>
        <w:t>A/4333/2015 - 5/5 -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