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ATAS/161/2013 vom 14. Februar 2013</w:t>
      </w:r>
    </w:p>
    <w:p>
      <w:r>
        <w:t>GE Cour de justice, 2013-02-14, FR</w:t>
      </w:r>
    </w:p>
    <w:p>
      <w:r>
        <w:rPr>
          <w:b/>
        </w:rPr>
        <w:t xml:space="preserve">Quelle: </w:t>
      </w:r>
      <w:r>
        <w:t>https://mcp.opencaselaw.ch/entscheid/ge_gerichte_ATAS_161_2013</w:t>
      </w:r>
    </w:p>
    <w:p>
      <w:r>
        <w:t>FR: GE_GERICHTE ATAS/161/2013 du 14 février 2013</w:t>
      </w:r>
    </w:p>
    <w:p>
      <w:r>
        <w:t>IT: GE_GERICHTE ATAS/161/2013 del 14 febbraio 2013</w:t>
      </w:r>
    </w:p>
    <w:p>
      <w:pPr>
        <w:pStyle w:val="Heading2"/>
      </w:pPr>
      <w:r>
        <w:t>Erwägungen</w:t>
      </w:r>
    </w:p>
    <w:p>
      <w:r>
        <w:rPr>
          <w:b/>
        </w:rPr>
        <w:t>E. 1</w:t>
      </w:r>
    </w:p>
    <w:p>
      <w:r>
        <w:t>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La compétence de la Cour de céans pour juger du cas d’espèce est ainsi établie.</w:t>
      </w:r>
    </w:p>
    <w:p>
      <w:r>
        <w:t>A/3759/2012 - 4/7 -</w:t>
      </w:r>
    </w:p>
    <w:p>
      <w:r>
        <w:rPr>
          <w:b/>
        </w:rPr>
        <w:t>E. 2</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[LPCF]) auprès du tribunal des assurances du canton de domicile de l’assuré (art. 58 al. 1 LPGA). b) S’agissant des prestations complémentaires cantonales, l’art. 43 LPCC ouvre les mêmes voies de droit. c) En l’espèce, le recours a été déposé dans les forme et délai imposés par la loi, de sorte qu’il est recevable.</w:t>
      </w:r>
    </w:p>
    <w:p>
      <w:r>
        <w:rPr>
          <w:b/>
        </w:rPr>
        <w:t>E. 3</w:t>
      </w:r>
    </w:p>
    <w:p>
      <w:r>
        <w:t>Est litigieuse la question de savoir si les recourants peuvent bénéficier d'une remise de l'obligation de restituer les prestations qui leur ont été allouées à tort.</w:t>
      </w:r>
    </w:p>
    <w:p>
      <w:r>
        <w:rPr>
          <w:b/>
        </w:rPr>
        <w:t>E. 4</w:t>
      </w:r>
    </w:p>
    <w:p>
      <w:r>
        <w:t>a) Aux termes des art. 25 al. 1 LPGA (s’agissant des prestations fédérales) et 24 al. 1 LPCC (s’agissant des prestations cantonales), les prestations indûment touchées doivent être restituées. La restitution peut être demandée dans un délai d’une année à compter de la connaissance du fait qui ouvre le droit à la restitution, mais au plus tard cinq ans après le versement de la prestation (art. 28 LPGA). L’administration est ainsi tenue d’exiger de l’assuré la restitution des indemnités auxquelles il n’avait pas droit. Il s’agit là d’une obligation légale à laquelle il est impossible de déroger sauf cas expressément prévu par la loi. Celle-ci permet à l’administration de renoncer à exiger la restitution lorsque le bénéficiaire des prestations indûment reçues était de bonne foi et que la restitution n’entraînerait pour lui des rigueurs financières particulières. La demande de remise doit être présentée par écrit. Elle doit être accompagnée des pièces utiles et déposée au plus tard 30 jours à compter de l’entrée en force de la décision en restitution (cf. art. 25 LPGA et 15 du règlement d’application de la loi sur les prestations cantonales complémentaires à l’assurance-vieillesse et survivants et à l’assurance-invalidité [RPCC]). b) La remise de l'obligation de restituer est donc soumise à deux conditions cumulatives : la bonne foi de l'assuré et sa situation financière difficile.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ainsi faute grave chaque fois que la nécessité d’annoncer un changement survenu est évidente (RCC 1986 p. 668), en d’autres termes, chaque fois que l’intéressé ne se conforme</w:t>
      </w:r>
    </w:p>
    <w:p>
      <w:r>
        <w:t>A/3759/2012 - 5/7 - pas à ce qui peut être raisonnablement exigé d’une personne capable de discernement, se trouvant dans une situation identique et dans les mêmes circonstances (cf. ATF 112 V 103 consid. 2c, 110 V 180 consid. 3c ; arrêt non publié du TFA du 20 janvier 2007, C 93/2005). A cet égard, la jurisprudence développée à propos de l’art. 47 al. 1 de la loi fédérale sur l'assurance-vieillesse et survivants (LAVS) vaut par analogie.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(DTA 2001 p. 160; DTA 1998 p. 70; ATFA du 23 janvier 2002 en la cause C 110/01). L'ayant droit de prestations complémentaires doit communiquer sans retard à l'organe cantonal compétent tout changement dans la situation personnelle et toute modification sensible dans la situation matérielle du bénéficiaire de la prestation (art. 24 de l'ordonnance sur les prestations complémentaires à l’assurance- vieillesse, survivants et invalidité; art. 11 LPCC). Par ailleurs, la restitution des prestations allouées indûment, mais reçues de bonne foi, ne peut être exigée si l’intéressé se trouve dans une situation difficile. Est déterminant, pour apprécier s’il y a une situation difficile, le moment où la décision de restitution est exécutoire. Il y a situation difficile lorsque les conditions de l’art. 5 de l’ordonnance fédérale sur la partie générale du droit des assurances sociales, du 11 septembre 2002, appliqué par analogie en matière de prestations cantonales, sont réalisées (art. 16 RPCC). L’ensemble de ces dispositions correspond aux normes contenues dans la LPGA et son droit d’exécution.</w:t>
      </w:r>
    </w:p>
    <w:p>
      <w:r>
        <w:rPr>
          <w:b/>
        </w:rPr>
        <w:t>E. 5</w:t>
      </w:r>
    </w:p>
    <w:p>
      <w:r>
        <w:t>En l'espèce, il n'est pas contesté que les recourants n'ont jamais informé l'intimé des augmentations du revenu du recourant et que l’intimé n’en a eu connaissance qu’en 2010, lors de la révision périodique au cours de laquelle il a eu accès aux déclarations fiscales du ménage. Il ressort des pièces du dossier que des courriers comportant la mention "communication importante" semblent bel et bien avoir été adressés aux recourants à raison d'un par année. Dans ces courriers figurait en gras la mention suivante : "Les modifications annoncées ci-dessus pourront entraîner des augmentations ou des baisses des prestations financières versées"</w:t>
      </w:r>
    </w:p>
    <w:p>
      <w:r>
        <w:t>A/3759/2012 - 6/7 - Ils comportaient en outre une rubrique intitulée "obligation de renseigner" invitant "à contrôler attentivement les montants figurant dans le plan de calcul (…), pour vous assurer qu'ils correspondent bien à votre situation actuelle." Ils précisaient au surplus : "si un/des changement(s) est/sont intervenu(s) dans votre situation personnelle et/ou financière, nous vous prions de nous faire parvenir, sans délai, copie du/des justificatif(s) y relatif(s). Enfin, le SPC soulignait : "tout changement dans votre situation financière et/ou personnelle fait l'objet d'un re-calcul du montant de vos prestations qui peut donner lieu à un versement rétroactif ou à une demande de remboursement des prestations versées indûment." Certes, la preuve que ces courriers sont bel et bien parvenus à leurs destinataires n’a pas été apportée. Cependant, au vu du nombre de courriers similaires figurant au dossier, il paraît acquis, au degré de vraisemblance prépondérante requis par la jurisprudence, qu’au moins un a dû atteindre sa destination. Quoi qu’il en soit, il n’est pas contestable que l’obligation de renseigner a été rappelée en bonne et due forme aux recourants dans le formulaire de demande de prestations signé par leurs soins. Ils ne pouvaient donc ignorer les devoirs qui leurs incombaient à ce titre et, à ce titre, une négligence peut leur être reprochée. Reste à qualifier la gravité de cette faute. En effet, selon la jurisprudence, la bonne foi d'un assuré peut être reconnue lorsque l'acte ou l'omission fautif ne constitue qu'une violation légère de l'obligation d'annoncer ou de renseigner. En l’espèce, il convient donc d’examiner si la nécessité d’annoncer l'augmentation de revenu devait ou non apparaître évidente aux recourants. Tel est le cas, manifestement, au vu de l'importance du changement en question et du nombre d'années écoulées depuis la dernière mise à jour des données communiquées à l'intimé. A cet égard, l’argument selon lequel les recourants pensaient que l’intimé avait accès à leur déclaration fiscale ne saurait être retenu car, ainsi que le fait remarquer l’intimé, jamais ce dernier n’a affirmé avoir accès à ces déclarations, dont les recourants savaient au demeurant ne pas les avoir transmises au SPC. Il suit de tout ce qui précède que les recourants ne peuvent exciper, dans le cas d’espèce, de leur bonne foi. Partant, il est superfétatoire d’examiner si la condition de la charge trop lourde est réalisée. En conséquence, le recours est rejeté.</w:t>
      </w:r>
    </w:p>
    <w:p>
      <w:r>
        <w:t>A/3759/2012 - 7/7 -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