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ATAS/161/2011 vom 5. Februar 2009</w:t>
      </w:r>
    </w:p>
    <w:p>
      <w:r>
        <w:t>GE Cour de justice, 2009-02-05, FR</w:t>
      </w:r>
    </w:p>
    <w:p>
      <w:r>
        <w:rPr>
          <w:b/>
        </w:rPr>
        <w:t xml:space="preserve">Quelle: </w:t>
      </w:r>
      <w:r>
        <w:t>https://mcp.opencaselaw.ch/entscheid/ge_gerichte_ATAS_161_2011</w:t>
      </w:r>
    </w:p>
    <w:p>
      <w:r>
        <w:t>FR: GE_GERICHTE ATAS/161/2011 du 5 février 2009</w:t>
      </w:r>
    </w:p>
    <w:p>
      <w:r>
        <w:t>IT: GE_GERICHTE ATAS/161/2011 del 5 febbraio 2009</w:t>
      </w:r>
    </w:p>
    <w:p>
      <w:pPr>
        <w:pStyle w:val="Heading2"/>
      </w:pPr>
      <w:r>
        <w:t>Erwägungen</w:t>
      </w:r>
    </w:p>
    <w:p>
      <w:r>
        <w:rPr>
          <w:b/>
        </w:rPr>
        <w:t>E. 1</w:t>
      </w:r>
    </w:p>
    <w:p>
      <w:r>
        <w:t>Le demandeur sollicite une audience pour trouver "une solution juste et équitable" pour le partage de son avoir de vieillesse avec son ex-épouse. Toutefois, dès lors que la Cour de céans est liée par les décisions du juge du divorce, soit en l'occurrence par l'arrêt de la Chambre civile de la Cour de justice du 16 octobre 2009, et que la demanderesse n'a manifestement pas l'intention de renoncer à ses droits, une audience de comparution personnelle des parties n'aurait guère d'utilité. Par conséquent, le demandeur sera débouté de cette demande.</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3</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A/3437/2010 4/6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Lorsque le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Le moment déterminant pour décider si un cas de prévoyance est survenu est l'entrée en force du prononcé de divorce. Le juge du divorce peut tenir compte du fait qu'un cas de prévoyance est prévisible. Cependant, si un cas de prévoyance survient par la suite, ce fait ne constitue pas un motif de reconsidération du jugement, même si l'institution de prévoyance a déjà versé une rente calculée sur la base de la prestation de sortie non partagée (ATF 132 III 401 consid. 2.2 p. 404 s.).</w:t>
      </w:r>
    </w:p>
    <w:p>
      <w:r>
        <w:rPr>
          <w:b/>
        </w:rPr>
        <w:t>E. 5</w:t>
      </w:r>
    </w:p>
    <w:p>
      <w:r>
        <w:t>En l’espèce, le Tribunal de première instance a prononcé le divorce des époux par jugement du 5 février 2009. Ce jugement a été notifié aux parties le lendemain et n'a pas fait l'objet d'un appel à la Cour de justice quant au principe du divorce. Partant, ce jugement, en tant qu'il a prononcé le divorce, est entré en force de chose jugée à l'expiration du délai de recours de 30 jours contre ce jugement. Il a été notifié aux parties le 6 février 2009, soit un vendredi. Les parties ne l'ont donc pas reçu avant le 9 février 2009. Cela étant, le délai de recours de trente jours expirait le 11 mars 2009. Partant, il convient de constater que le cas de prévoyance, consistant dans la retraite du demandeur en date du 1er septembre 2009, est survenu après l'entrée en force du divorce. Par conséquent, le partage des avoirs de prévoyance accumulés par les époux pendant le mariage est toujours possible, quoiqu'en dise la CPEV.</w:t>
      </w:r>
    </w:p>
    <w:p>
      <w:r>
        <w:rPr>
          <w:b/>
        </w:rPr>
        <w:t>E. 6</w:t>
      </w:r>
    </w:p>
    <w:p>
      <w:r>
        <w:t>En l’espèce, la Chambre civile de la Cour de justice a ordonné le partage par moitié des prestations de sortie acquises durant le mariage par les demandeurs. Les dates pertinentes sont, d’une part, celle du mariage, le 19 février 1986, d’autre part le 11 mars 2009, date à laquelle le jugement de divorce est devenu exécutoire.</w:t>
      </w:r>
    </w:p>
    <w:p>
      <w:r>
        <w:rPr>
          <w:b/>
        </w:rPr>
        <w:t>E. 7</w:t>
      </w:r>
    </w:p>
    <w:p>
      <w:r>
        <w:t>Selon les renseignements requis, la prestation acquise pendant le mariage par le demandeur est de 545'046 fr., tandis que celle acquise par la demanderesse est de 49'663 fr. 90, (26'380 fr. plus 23'283 fr. 90). Ainsi, le demandeur doit à son ex-</w:t>
      </w:r>
    </w:p>
    <w:p>
      <w:r>
        <w:t>A/3437/2010 5/6 épouse le montant de 272'523 fr. (545'046 fr. : 2) et celle-ci lui doit le montant de fr. 24'831 fr. 95 (49'663 fr. 90 : 2), de sorte que c’est le demandeur qui doit à son ex-épouse la somme de 247'691 fr. 05.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w:t>
      </w:r>
    </w:p>
    <w:p>
      <w:r>
        <w:t>A/3437/2010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