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ATAS/161/2010 vom 18. Februar 2010</w:t>
      </w:r>
    </w:p>
    <w:p>
      <w:r>
        <w:t>GE Cour de justice, 2010-02-18, FR</w:t>
      </w:r>
    </w:p>
    <w:p>
      <w:r>
        <w:rPr>
          <w:b/>
        </w:rPr>
        <w:t xml:space="preserve">Quelle: </w:t>
      </w:r>
      <w:r>
        <w:t>https://mcp.opencaselaw.ch/entscheid/ge_gerichte_ATAS_161_2010</w:t>
      </w:r>
    </w:p>
    <w:p>
      <w:r>
        <w:t>FR: GE_GERICHTE ATAS/161/2010 du 18 février 2010</w:t>
      </w:r>
    </w:p>
    <w:p>
      <w:r>
        <w:t>IT: GE_GERICHTE ATAS/161/2010 del 18 febbraio 2010</w:t>
      </w:r>
    </w:p>
    <w:p>
      <w:pPr>
        <w:pStyle w:val="Heading2"/>
      </w:pPr>
      <w:r>
        <w:t>Erwägungen</w:t>
      </w:r>
    </w:p>
    <w:p>
      <w:r>
        <w:rPr>
          <w:b/>
        </w:rPr>
        <w:t>E. 5</w:t>
      </w:r>
    </w:p>
    <w:p>
      <w:r>
        <w:t>Aux termes de l’art. 8 al. 1 LPGA, est réputée invalidité l’incapacité de gain totale ou partielle qui est présumée permanente et de longue durée.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LPGA). Selon la jurisprudence, la notion d'invalidité, au sens du droit des assurances sociales, est une notion économique et non médicale; ce sont les conséquences</w:t>
      </w:r>
    </w:p>
    <w:p>
      <w:r>
        <w:t>A/58/2008 - 8/11 -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w:t>
      </w:r>
    </w:p>
    <w:p>
      <w:r>
        <w:rPr>
          <w:b/>
        </w:rPr>
        <w:t>E. 6</w:t>
      </w:r>
    </w:p>
    <w:p>
      <w:r>
        <w:t>Selon l'art. 28 al. 1 LAI dans sa teneur en vigueur jusqu'au 31 décembre 2003, l'assuré a droit à une rente entière s'il est invalide à 66 2/3% au moins, à une demi- rente s'il est invalide à 50% au moins, ou à un quart de rente s'il est invalide à 40% au moins.</w:t>
      </w:r>
    </w:p>
    <w:p>
      <w:r>
        <w:rPr>
          <w:b/>
        </w:rPr>
        <w:t>E. 7</w:t>
      </w:r>
    </w:p>
    <w:p>
      <w:r>
        <w:t>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égal ou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8</w:t>
      </w:r>
    </w:p>
    <w:p>
      <w:r>
        <w:t>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celle à partir de laquelle une prestation a été requise, et ne coïncide pas non plus nécessairement avec le moment où l’assuré apprend, pour la première fois, que l’atteinte à sa santé peut ouvrir droit à des prestations d’assurance (ATF 126 V 5 consid. 2b, 157 consid. 3a).</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w:t>
      </w:r>
    </w:p>
    <w:p>
      <w:r>
        <w:t>A/58/2008 - 9/11 - 2003: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10</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w:t>
      </w:r>
    </w:p>
    <w:p>
      <w:r>
        <w:rPr>
          <w:b/>
        </w:rPr>
        <w:t>E. 11</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12</w:t>
      </w:r>
    </w:p>
    <w:p>
      <w:r>
        <w:t>Toutefois, il y a lieu de relever que, en l’espèce, suite à la production des factures et des explications au sujet de travaux effectués par les sous-traitants, à savoir l’entreprise X__________ à Founex et à la société Y__________ à Genève, l’OAI, sur la base d’un rapport du service des enquêtes pour indépendants, a modifié ses conclusions dans le sens d’une admission partielle du recours et du renvoi du dossier pour instruction complémentaire.</w:t>
      </w:r>
    </w:p>
    <w:p>
      <w:r>
        <w:rPr>
          <w:b/>
        </w:rPr>
        <w:t>E. 13</w:t>
      </w:r>
    </w:p>
    <w:p>
      <w:r>
        <w:t>Il est rappelé que l’autorité administrative doit constater d’office les faits déterminants, c’est-à-dire toutes les circonstances dont dépend l’application des règles de droit (ATF 117 V 261 consid. 3 p. 263 ; T. LOCHER, Grundriss des Sozialversicherungsrecht, Bern 1994, t. 1, p. 438). L’administration est ainsi tenue d’ordonner une instruction complémentaires lorsque les allégations des parties et les éléments ressortant du dossier requièrent une telle mesure, et en particulier, elle doit mettre en œuvre une expertise lorsqu’il apparaît nécessaire de clarifier des aspects médicaux (ATF 117 V 282 consid. 4a p. 283 ; RAMA 1985 p. 240 consid. 4 ; LOCHER loc.cit.).</w:t>
      </w:r>
    </w:p>
    <w:p>
      <w:r>
        <w:t>A/58/2008 - 10/11 - De son côté, le juge qui estime que les faits ne sont pas suffisamment élucidés peut renvoyer la cause à l'administration pour complément d'instruction ou procéder lui- même à une telle instruction complémentaire (RAMA 1993 p. 136). En matière d’assurance-invalidité, la première solution est en principe préférée (ATFA I 431/02 du 8 novembre 2002). En l’espèce, tant le Tribunal de céans que l’intimé sont d’accord pour dire que l’instruction de la cause nécessite d’être complétée. Il convient de donner suite à la proposition de l’intimé et de lui renvoyer la cause pour instruction complémentaire puis nouvelle décision. En ce sens, le recours est partiellement admis. Conformément à la jurisprudence constante du Tribunal fédéral des assurances, le recourant a droit à des dépens pour autant que les chances de succès du procès le justifient (ATF 110 V 57 consid. 2a ; RCC 1989 p. 318 consid. 2b). Tel est le cas en l’espèce dès lors que l’intimé a admis que l’instruction du dossier nécessitait d’être complétée. Des dépens seront donc alloués au recourant à hauteur de 1'500 fr..</w:t>
      </w:r>
    </w:p>
    <w:p>
      <w:r>
        <w:t>A/58/2008 - 11/11 -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