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ATAS/1616/2009 vom 18. Juni 2009</w:t>
      </w:r>
    </w:p>
    <w:p>
      <w:r>
        <w:t>GE Cour de justice, 2009-06-18, FR</w:t>
      </w:r>
    </w:p>
    <w:p>
      <w:r>
        <w:rPr>
          <w:b/>
        </w:rPr>
        <w:t xml:space="preserve">Quelle: </w:t>
      </w:r>
      <w:r>
        <w:t>https://mcp.opencaselaw.ch/entscheid/ge_gerichte_ATAS_1616_2009</w:t>
      </w:r>
    </w:p>
    <w:p>
      <w:r>
        <w:t>FR: GE_GERICHTE ATAS/1616/2009 du 18 juin 2009</w:t>
      </w:r>
    </w:p>
    <w:p>
      <w:r>
        <w:t>IT: GE_GERICHTE ATAS/1616/2009 del 18 giugno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Par ailleurs, le montant du retrait anticipé ayant servi à l'acquisition d'un bien immobilier doit faire l'objet du partage. Ainsi, la somme retirée doit être ajoutée aux avoirs de prévoyance à partager, mais sans intérêts (cf. Jacques-André SCHNEIDER, Jurisprudence 2005 du TF en matière de prévoyance professionnelle, p. 32 et jurisprudence citée; ATF 128 V p. 230). D'ailleurs, l'art. 30 c al. 6 LPP prévoit expressément la prise en compte de ce versement anticipé dans le calcul (voir aussi message du Conseil fédéral in feuille fédérale 1996). Comme rappelé ci-dessus, la prestation acquise au mariage ne fait pas partie du partage, de même que ses intérêts jusqu'au jour du divorce.</w:t>
      </w:r>
    </w:p>
    <w:p>
      <w:r>
        <w:rPr>
          <w:b/>
        </w:rPr>
        <w:t>E. 2</w:t>
      </w:r>
    </w:p>
    <w:p>
      <w:r>
        <w:t>En l'espèce, pour déterminer la prestation à partager du demandeur, il y a lieu de calculer l'entier de son avoir (358 329,95 F - 315 000 F + 118 059,30 F), d'en déduire la prestation au mariage ainsi que ses intérêts (358 329,95 F), et d'y ajouter le montant du retrait anticipé (315 000 F), soit une somme à partager de118 059,30. De son côté, l'avoir à partager de la demanderesse est de1'653,50. Ainsi le demandeur doit à son ex-épouse le montant de 59 029 F 65 (118 059,30 F: 2) et celle-ci doit à celui-là le montant de 826,75 F (1'653,50 F : 2), de sorte que c’est le demandeur qui doit à la demanderesse le montant de 58'202 F 90 .</w:t>
      </w:r>
    </w:p>
    <w:p>
      <w:r>
        <w:rPr>
          <w:b/>
        </w:rPr>
        <w:t>E. 3</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A/3271/2009 4/4 montant de celle-ci. Ces intérêts sont calculés au taux minimum légal selon l'art. 12 OPP 2 ou selon le taux réglementaire, si celui-ci est supérieur (ATF 129 V 255 consid. 3).</w:t>
      </w:r>
    </w:p>
    <w:p>
      <w:r>
        <w:rPr>
          <w:b/>
        </w:rPr>
        <w:t>E. 4</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