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ATAS/1613/2009 vom 9. Dezember 2009</w:t>
      </w:r>
    </w:p>
    <w:p>
      <w:r>
        <w:t>GE Cour de justice, 2009-12-09, FR</w:t>
      </w:r>
    </w:p>
    <w:p>
      <w:r>
        <w:rPr>
          <w:b/>
        </w:rPr>
        <w:t xml:space="preserve">Quelle: </w:t>
      </w:r>
      <w:r>
        <w:t>https://mcp.opencaselaw.ch/entscheid/ge_gerichte_ATAS_1613_2009</w:t>
      </w:r>
    </w:p>
    <w:p>
      <w:r>
        <w:t>FR: GE_GERICHTE ATAS/1613/2009 du 9 décembre 2009</w:t>
      </w:r>
    </w:p>
    <w:p>
      <w:r>
        <w:t>IT: GE_GERICHTE ATAS/1613/2009 del 9 dicembre 2009</w:t>
      </w:r>
    </w:p>
    <w:p>
      <w:pPr>
        <w:pStyle w:val="Heading2"/>
      </w:pPr>
      <w:r>
        <w:t>Erwägungen</w:t>
      </w:r>
    </w:p>
    <w:p>
      <w:r>
        <w:rPr>
          <w:b/>
        </w:rPr>
        <w:t>E. 1</w:t>
      </w:r>
    </w:p>
    <w:p>
      <w:r>
        <w:t>Le Tribunal de céans a déjà examiné la question de sa compétence, de la recevabilité du recours et du droit applicable dans l’arrêt incident du 10 décembre 2008, de sorte qu’il n’y a pas lieu de revenir sur ces points (ATAS/1467/2008).</w:t>
      </w:r>
    </w:p>
    <w:p>
      <w:r>
        <w:rPr>
          <w:b/>
        </w:rPr>
        <w:t>E. 2</w:t>
      </w:r>
    </w:p>
    <w:p>
      <w:r>
        <w:t>Le litige porte sur le point de savoir si l'intimé était fondé à remplacer, par voie de révision ou de reconsidération, la rente entière d'invalidité de la recourante par une demi-rente.</w:t>
      </w:r>
    </w:p>
    <w:p>
      <w:r>
        <w:rPr>
          <w:b/>
        </w:rPr>
        <w:t>E. 3</w:t>
      </w:r>
    </w:p>
    <w:p>
      <w:r>
        <w:t>En vertu de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Il n'y a pas matière à révision lorsque les circonstances sont demeurées inchangées et que le motif de la suppression ou de la diminution de la rente réside uniquement</w:t>
      </w:r>
    </w:p>
    <w:p>
      <w:r>
        <w:t>A/3775/2008 - 8/11 -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112 V 372 consid. 2b et 390 consid. 1b). Enfin, l'art. 17 LPGA n'a pas apporté de modification aux principes jurisprudentiels développés sous le régime de l'ancien art. 41 LAI, en vigueur jusqu'au 31 décembre 2002 (ATF 130 V 343 consid. 3.5). A cet égard, un changement de jurisprudence n'est pas un motif de révision au sens de l'art. 41 LAI (ATF 129 V 200, consid 1.2). b) D'autre part, le principe général du droit des assurances sociales selon lequel l'administration peut en tout temps revenir d'office sur une décision formellement passée en force qui n'a pas donné lieu à un jugement sur le fond, lorsque celle-ci est manifestement erronée et que sa rectification revêt une importance notable, a été consacré à l'art. 53 al. 2 LPGA. Selon la jurisprudence, une décision est sans nul doute erronée lorsqu'elle a été rendue sur la base de normes fausses ou non pertinentes ou que les dispositions pertinentes n'ont pas été appliquées ou l'ont été de manière erronée. En règle générale, l'octroi illégal de prestations est réputé sans nul doute erroné (ATF 126 V 401 consid. 2b/bb et les références).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de l'époque (SVR 2006 UV n° 17 p. 60 [U 378/05] consid. 5.3 et les arrêts cités; arrêt B. du 19 décembre 2002, I 222/02 consid. 3.2). En effet, pour juger s'il est admissible de reconsidérer une décision, il faut se fonder sur les faits et la situation juridique au moment où cette décision a été rendue, compte tenu de la pratique en vigueur à cette époque (ATF 125 V 383 consid. 3 p. 389, 119 V 475 consid. 1b/cc p. 479). Si le juge est le premier à constater que la décision initiale était manifestement erronée, il peut confirmer, en invoquant ce motif, la décision prise par l'administration (ATF 125 V 369 consid. 2 et les arrêts cités; cf. aussi ATF 112 V 373 consid. 2c et 390 consid. 1b; arrêt non publié du 30 avril 2008 9C_187/2007). Lorsque le juge procède par substitution de motifs, cela implique qu'il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(consid. 1.2 de l'arrêt C. du 17 août 2005, I 545/02, SVR 2006 IV n° 21 p. 75).</w:t>
      </w:r>
    </w:p>
    <w:p>
      <w:r>
        <w:t>A/3775/2008 - 9/11 -</w:t>
      </w:r>
    </w:p>
    <w:p>
      <w:r>
        <w:rPr>
          <w:b/>
        </w:rPr>
        <w:t>E. 4</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 vertu de la maxime d'office, l'administration et le juge doivent veiller d'office à l'établissement exact et complet des faits pertinents. Sont pertinents tous les faits dont l'existence peut influencer d'une manière ou d'une autre le jugement relatif à la prétention. Dans ce contexte,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paraît nécessaire de clarifier les aspects médicaux du cas (ATF 117 V 283 consid. 4a; RAMA 1985 p. 240 consid. 4). Un renvoi à l’administration, lorsqu’il a pour but d’établir l’état de fait, ne viole ni le principe de simplicité et de rapidité de la procédure, ni la maxime inquisitoire (DTA 2001 p. 169).</w:t>
      </w:r>
    </w:p>
    <w:p>
      <w:r>
        <w:rPr>
          <w:b/>
        </w:rPr>
        <w:t>E. 5</w:t>
      </w:r>
    </w:p>
    <w:p>
      <w:r>
        <w:t>En l’occurrence, l’intimé ne conteste plus l’absence d’un motif de révision au sens de l’art. 17 LPGA. Il est néanmoins d’avis que la capacité de travail de la recourante dans une activité adaptée est de 60% et que cette capacité a toujours existé, de sorte que la décision d’octroi de rente initiale présenterait un caractère indubitablement incorrect, ce que la recourante conteste. Le Tribunal de céans relèvera que la question de savoir si la décision d’octroi de rente initiale est manifestement inexacte peut rester en l’état ouverte. En effet, quand bien même le Tribunal aboutirait à la conclusion que la décision initiale est incorrecte, il resterait encore à déterminer le degré d’invalidité que présente la recourante au moment de la décision litigieuse. On rappellera à cet égard que l’on ne saurait supprimer ou diminuer une rente par voie de reconsidération si, depuis son octroi manifestement inexact, des modifications de l'état de fait (au sens de l'art. 17 LPGA) justifient de retenir un taux d'invalidité suffisant pour que la prestation en question soit maintenue (arrêt du Tribunal fédéral des assurances I 222/02 du 19 décembre 2002, consid. 5.1). Or, il ressort des pièces versées à la procédure par la recourante que cette dernière présenterait une nouvelle atteinte à la santé, à savoir une maladie inflammatoire de type polyarthrite rhumatoïde aux deux mains (rapport du Dr O__________ du 30 septembre 2008). De surcroît, de l’avis de la Dresse P__________ du SMR, cette</w:t>
      </w:r>
    </w:p>
    <w:p>
      <w:r>
        <w:t>A/3775/2008 - 10/11 - affection est antérieure à la notification de la décision litigieuse, raison pour laquelle une instruction complémentaire s’avère nécessaire (avis du 13 octobre 2009). Eu égard à cette nouvelle affection, la question de l’étendue de la capacité de travail résiduelle de la recourante dans une activité adaptée, litigieuse en l’occurrence, n’apparaît pas suffisamment éclaircie, de sorte que le Tribunal de céans ne peut déterminer le taux d’invalidité que présente la recourante à la date déterminante de la décision soumise à recours, si bien que la cause sera renvoyée à l’intimé, à charge pour lui de procéder à un complément d’instruction à cet égard.</w:t>
      </w:r>
    </w:p>
    <w:p>
      <w:r>
        <w:rPr>
          <w:b/>
        </w:rPr>
        <w:t>E. 6</w:t>
      </w:r>
    </w:p>
    <w:p>
      <w:r>
        <w:t>Le recours sera par conséquent admis et la décision du 17 septembre 2008 annulée. Le dossier est renvoyé à l’intimé pour instruction médicale complémentaire auprès des médecins consultés par la recourante et, le cas échéant, mise en œuvre d’une expertise confiée à un spécialiste externe, qui sera chargé de se déterminer sur l’évolution de l’état de santé de la recourante depuis le 20 octobre 1993, sur sa capacité de travail, ainsi que sur la mesure dans laquelle une activité est exigible de sa part, dans quelles conditions et à quel taux. Cela fait, l’intimé rendra une nouvelle décision sur révision. La recourante, qui obtient gain de cause, a droit à une indemnité à titre de participation à ses frais et dépens, que le Tribunal fixe en l'espèce à 2’500 fr. (art. 61 let. g LPGA ; art. 89H al. 3 LPA). L'intimé, qui succombe, sera condamné à un émolument de 1’000 fr. (art. 69 al. 1 bis LAI).</w:t>
      </w:r>
    </w:p>
    <w:p>
      <w:r>
        <w:t>A/3775/2008 - 11/11 -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