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ATAS/160/2009 vom 12. Februar 2009</w:t>
      </w:r>
    </w:p>
    <w:p>
      <w:r>
        <w:t>GE Cour de justice, 2009-02-12, FR</w:t>
      </w:r>
    </w:p>
    <w:p>
      <w:r>
        <w:rPr>
          <w:b/>
        </w:rPr>
        <w:t xml:space="preserve">Quelle: </w:t>
      </w:r>
      <w:r>
        <w:t>https://mcp.opencaselaw.ch/entscheid/ge_gerichte_ATAS_160_2009</w:t>
      </w:r>
    </w:p>
    <w:p>
      <w:r>
        <w:t>FR: GE_GERICHTE ATAS/160/2009 du 12 février 2009</w:t>
      </w:r>
    </w:p>
    <w:p>
      <w:r>
        <w:t>IT: GE_GERICHTE ATAS/160/2009 del 12 febbraio 2009</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l’assurance-maladie du 18 mars 1994 (LAMal). Sa compétence pour juger du cas d’espèce est ainsi établie.</w:t>
      </w:r>
    </w:p>
    <w:p>
      <w:r>
        <w:rPr>
          <w:b/>
        </w:rPr>
        <w:t>E. 2</w:t>
      </w:r>
    </w:p>
    <w:p>
      <w:r>
        <w:t>Le litige a pour objet la question de savoir si c’est à juste titre que le recourant a été affilié à l’intimée et, en particulier, l’obligation d’assurance du recourant.</w:t>
      </w:r>
    </w:p>
    <w:p>
      <w:r>
        <w:rPr>
          <w:b/>
        </w:rPr>
        <w:t>E. 3</w:t>
      </w:r>
    </w:p>
    <w:p>
      <w:r>
        <w:t>L’un des buts principaux de la LAMal est de rendre l’assurance obligatoire pour l’ensemble de la population en Suisse (ATF 125 V 271 consid. 5b). Aussi l’art. 3 al. 1 LAMal pose-t-il le principe de l’obligation d’assurance pour les soins en cas de maladie pour toute personne domiciliée en Suisse, dans les trois mois qui suivent sa prise de domicile ou sa naissance dans le pays. L’art. 1 al. 1 de l’ordonnance sur l’assurance-maladie du 27 juin 1995 (OAMal) confirme l’obligation, pour les personnes domiciliées en Suisse au sens des art. 23 à 26 du code civil suisse, de s’assurer. Les art. 2 à 6 OAMal énumèrent les cas d’exemption de l’obligation de s’assurer. Selon l’art. 6 al. 1 LAMal, les cantons veillent au respect de l’obligation de s’assurer. L’autorité désignée par le canton affilie d’office toute personne tenue de s’assurer qui n’a pas donné suite à cette obligation en temps utile (art. 6 al. 2 LAMal).</w:t>
      </w:r>
    </w:p>
    <w:p>
      <w:r>
        <w:t>Aux termes de l’art. 4 al. 1 de la loi cantonale d’application de la loi fédérale sur l’assurance-maladie du 15 décembre 1997 (LaLAMal), le service de l’assurance- maladie contrôle l’affiliation des assujettis. Il statue également sur les exceptions à l’obligation d’assurance (art. 5 LaLAMal). Le service de l’assurance-maladie affilie d’office les personnes soumises à l’obligation d’assurance qui refusent ou négligent de s’affilier conformément à la loi fédérale (art. 6 al. 1 du règlement).</w:t>
      </w:r>
    </w:p>
    <w:p>
      <w:r>
        <w:t>A/4661/2008 - 4/5 -</w:t>
      </w:r>
    </w:p>
    <w:p>
      <w:r>
        <w:rPr>
          <w:b/>
        </w:rPr>
        <w:t>E. 4</w:t>
      </w:r>
    </w:p>
    <w:p>
      <w:r>
        <w:t>En l’espèce, il est constant que le recourant, domicilié en Suisse, est soumis à l’assurance obligatoire conformément à l’art. 3 al. 1 LAMal et qu’il ne fait pas partie du cercle des personnes visées aux art. 2 à 6 OAMal, ce qu’il ne conteste d’ailleurs pas. Le recourant se prévaut en revanche de la violation d'un certain nombre de normes constitutionnelles. Il invoque en particulier, sans les citer nommément ni désigner les dispositions correspondantes, la protection de la sphère privée (art. 13 Cst), la liberté de conscience et de croyance (art. 15 Cst.), de même que la liberté économique garantie par l'art. 27 Cst., en affirmant que la loi est manifestement contraire à la Constitution fédérale. Mais son argumentation est vaine, dès lors que le juge cantonal, tout comme le Tribunal fédéral des assurances, est tenu d'appliquer les lois fédérales et le droit international (art. 191 Cst.). Quoi qu’il en soit, le Tribunal fédéral des assurances a jugé de manière constante que l'obligation d'assurance n'est d'aucune manière contraire à la liberté de conscience et de croyance garantie par l'art. 15 Cst., ni à la liberté d'opinion garantie par l'art. 16 Cst., ni à la liberté économique garantie par l'art. 27 Cst. (RAMA 2001 N° KV 151 p. 119 consid. 3a et les arrêts cités), ni à la liberté d'association garantie par l'art. 23 Cst. (arrêt D. et P. du 26 juin 2001, K 48/01). On ne voit pas en quoi il en irait différemment en ce qui concerne les autres droits fondamentaux invoqués par le recourant à l'appui de ses conclusions (ATFA du 9 juin 2004 en la cause K 71/03 consid.4). Le recourant ne saurait donc se soustraire au principe de l'obligation d'assurance. Eu égard à ce qui précède, le recours est donc rejeté.</w:t>
      </w:r>
    </w:p>
    <w:p>
      <w:r>
        <w:t>A/4661/2008 - 5/5 -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