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ATAS/1607/2009 vom 8. Dezember 2009</w:t>
      </w:r>
    </w:p>
    <w:p>
      <w:r>
        <w:t>GE Cour de justice, 2009-12-08, FR</w:t>
      </w:r>
    </w:p>
    <w:p>
      <w:r>
        <w:rPr>
          <w:b/>
        </w:rPr>
        <w:t xml:space="preserve">Quelle: </w:t>
      </w:r>
      <w:r>
        <w:t>https://mcp.opencaselaw.ch/entscheid/ge_gerichte_ATAS_1607_2009</w:t>
      </w:r>
    </w:p>
    <w:p>
      <w:r>
        <w:t>FR: GE_GERICHTE ATAS/1607/2009 du 8 décembre 2009</w:t>
      </w:r>
    </w:p>
    <w:p>
      <w:r>
        <w:t>IT: GE_GERICHTE ATAS/1607/2009 del 8 dicembre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de déterminer si c'est à juste titre que l'OCAI a mis la recourante au bénéfice d'une rente limitée dans le temps, du 1er juillet 2006 au 31 décembre 2006.</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w:t>
      </w:r>
    </w:p>
    <w:p>
      <w:r>
        <w:t>A/4771/2008 - 6/8 - sens de l’art. 17 LPGA (ATF 130 V 343 consid. 3.5.2 et ATF 125 V 413 consid. 2d ; ATF non publiés des 28 décembre 2006, I 520/05, et 21 août 2006, I 554/06).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w:t>
      </w:r>
    </w:p>
    <w:p>
      <w:r>
        <w:rPr>
          <w:b/>
        </w:rPr>
        <w:t>E. 6</w:t>
      </w:r>
    </w:p>
    <w:p>
      <w:r>
        <w:t>En l'espèce l'OAI a considéré, au vu de l'expertise du CEMed, que l'état de santé de la recourante, s'il avait bien justifié une totale incapacité de travail, n'en justifiait plus à partir du 1er janvier 2007, le principal trouble psychique étant depuis lors en rémission. Le Tribunal de céans constate que ce point de vue doit être confirmé, dans la mesure où l'expert judiciaire a lui-même confirmé les constatations et conclusions du CEMed. Les diagnostics retenus sont identiques, et l'expert judiciaire confirme la rémission de l'état dépressif récurrent. C'est le lieu de rappeler la jurisprudence du Tribunal fédéral des assurances (ci- après: TFA)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w:t>
      </w:r>
    </w:p>
    <w:p>
      <w:r>
        <w:t>A/4771/2008 - 7/8 -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Par ailleurs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l'occurrence, tant l'expertise judiciaire que l'expertise du CEMed revêtent une pleine valeur probante. L'expertise judiciaire avait en effet été ordonnée en raison de la nouvelle hospitalisation de la recourante. Il ressort toutefois de l'expertise judiciaire les mêmes éléments que déjà mis au jour par les premiers experts, à savoir que le trouble de la personnalité dont souffre la recourante peut générer des états dépressifs, d'intensité variable, mais qui avec une médication et une thérapie adaptées peuvent relativement vite s'améliorer. Contrairement à ce qu'en pense que la recourante, du moment que l'expert judiciaire a confirmé une totale capacité de travail, et a confirmé également les constatations des premiers experts, il était inutile qu'il se détermine sur l'évolution de la capacité de travail à partir de janvier 2007. Celle-ci est entière depuis, à l'exception de courtes périodes de dépression, qui n'entrave pas la capacité de travail de façon durable. Les quelques erreurs relevées par la recourante ne sont, par ailleurs, pas de nature à remettre en cause les constatations de l'expert. Ainsi, une erreur de frappe dans la date de naissance, ou la mention que la recourante a, ou n'a plus, aujourd'hui de chien, n'a pas de conséquences sur le status clinique et par voie de conséquence sur les conclusions médicales. Il en est de même de la consommation de tabac de la recourante, apparemment retranscrite de manière inexacte par l'expert. Quand au fait qu'il met en doute le sérieux des intentions suicidaires de la recourante, cette appréciation lui appartient, il ne s'agit pas d'un fait objectif. Reprocher, enfin, à l'expert d'avoir mentionné qu'elle ne conduisait plus son véhicule, alors qu'elle aurait plutôt indiqué à celui-ci qu'elle limitait ses déplacements au strict minimum apparaît sans pertinence, voire chicanier. Enfin, au vu de la jurisprudence susmentionnée, les conclusions du médecin psychiatre traitant ne sont pas de nature à permettre au Tribunal de s'écarter des deux expertises susmentionnées. À noter qu'il diffère de ses confrères experts non sur les diagnostics, mais sur l'évaluation des conséquences de ceux-ci sur la capacité de travail de sa patiente. Le médecin traitant retenait lui-même une grande</w:t>
      </w:r>
    </w:p>
    <w:p>
      <w:r>
        <w:t>A/4771/2008 - 8/8 - variation dans les états dépressifs de la recourante, estimant de manière générale que sa capacité de travail fluctue entre 0 % et 50 %.</w:t>
      </w:r>
    </w:p>
    <w:p>
      <w:r>
        <w:rPr>
          <w:b/>
        </w:rPr>
        <w:t>E. 7</w:t>
      </w:r>
    </w:p>
    <w:p>
      <w:r>
        <w:t>Au vu de ce qui précède, la décision de l'OAI sera confirmée, et le recours par conséquent rejeté. La recourante, qui succombe, versera un émolument de 200 fr. (art. 69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