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ATAS/15/2017 vom 17. Januar 2017</w:t>
      </w:r>
    </w:p>
    <w:p>
      <w:r>
        <w:t>GE Cour de justice, 2017-01-17, FR</w:t>
      </w:r>
    </w:p>
    <w:p>
      <w:r>
        <w:rPr>
          <w:b/>
        </w:rPr>
        <w:t xml:space="preserve">Quelle: </w:t>
      </w:r>
      <w:r>
        <w:t>https://mcp.opencaselaw.ch/entscheid/ge_gerichte_ATAS_15_2017</w:t>
      </w:r>
    </w:p>
    <w:p>
      <w:r>
        <w:t>FR: GE_GERICHTE ATAS/15/2017 du 17 janvier 2017</w:t>
      </w:r>
    </w:p>
    <w:p>
      <w:r>
        <w:t>IT: GE_GERICHTE ATAS/15/2017 del 17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du recourant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A/1759/2016 - 15/24 -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124 V 108 consid. 3a).</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w:t>
      </w:r>
    </w:p>
    <w:p>
      <w:r>
        <w:t>A/1759/2016 - 16/24 - entière s’il est invalide à 70 % au moins, à trois quarts de rente s’il est invalide à 60% au moins, à une demi-rente s’il est invalide à 50 % au moins ou à un quart de rente s’il est invalide à 40 % au moins.</w:t>
      </w:r>
    </w:p>
    <w:p>
      <w:r>
        <w:rPr>
          <w:b/>
        </w:rPr>
        <w:t>E. 8</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w:t>
      </w:r>
    </w:p>
    <w:p>
      <w:r>
        <w:rPr>
          <w:b/>
        </w:rPr>
        <w:t>E. 9</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Une intervention médicale peut être exigée si elle est sans danger et si le résultat prévisible peut être considéré comme favorable (Michel VALTERIO, Droit de l'assurance-vieillesse et survivants [AVS] et de l'assurance-invalidité [AI], 2011, p. 351 n. 1263). Sous l’angle de la proportionnalité d’une intervention chirurgicale, il convient de prendre en compte la durée d’activité restante au moment du dépôt de la demande (arrêt du Tribunal fédéral I 861/02 du 8 janvier 2004 consid. 3.3). À titre d’exemple, une intervention neurochirurgicale consistant en une décompression radiculaire et une spondylodèse chez un assuré de 54 ans au moment de sa demande et ayant une peur panique de</w:t>
      </w:r>
    </w:p>
    <w:p>
      <w:r>
        <w:t>A/1759/2016 - 17/24 - l’opération a été considérée comme exigible (arrêt du Tribunal fédéral I 462/05 du 16 août 2006 consid. 6).</w:t>
      </w:r>
    </w:p>
    <w:p>
      <w:r>
        <w:rPr>
          <w:b/>
        </w:rPr>
        <w:t>E. 10</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 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w:t>
      </w:r>
    </w:p>
    <w:p>
      <w:r>
        <w:t>A/1759/2016 - 18/24 -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w:t>
      </w:r>
    </w:p>
    <w:p>
      <w:r>
        <w:t>A/1759/2016 - 19/24 -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w:t>
      </w:r>
    </w:p>
    <w:p>
      <w:r>
        <w:rPr>
          <w:b/>
        </w:rPr>
        <w:t>E. 15</w:t>
      </w:r>
    </w:p>
    <w:p>
      <w:r>
        <w:t>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1er février 2010 consid. 3.2). 13. En l’espèce, il convient tout d’abord de relever qu’au plan médical, la capacité de travail du recourant n’est pas établie à satisfaction de droit. Selon le dossier constitué par la SUVA, l’accident survenu en août 2011 a entraîné une incapacité de travail totale de cette date au 12 mars 2012. Dès le lendemain, le recourant a recouvré une capacité de travail de 20 %. Sa capacité de travail s’est ensuite amendée pour atteindre 50 % dès le 25 juin 2012. L’ablation du matériel</w:t>
      </w:r>
    </w:p>
    <w:p>
      <w:r>
        <w:t>A/1759/2016 - 20/24 - d’ostéosynthèse a par la suite justifié un nouvel arrêt de travail dès le 8 novembre 2012. L’évolution de la lésion au coude permettait une reprise du travail à 50 % dès le 3 janvier 2013, et cette atteinte n’a plus déployé d’effets délétères sur la capacité de travail du recourant dès le 1er mars 2013. En revanche, une rupture de la coiffe des rotateurs – d’origine non traumatique – a entraîné une incapacité de travail totale dès le 1er octobre 2012, selon le Dr H_______. Le Dr K_______, dans son rapport d’expertise du 4 décembre 2013, n’a pas remis en cause cette incapacité de travail, justifiée notamment par le fait que le recourant devait subir une intervention plusieurs fois repoussée pour des motifs médicaux. Il semblerait que cette opération n’ait finalement pas eu lieu, pour des motifs que l’intimé n’a pas clarifiés. De plus, on ignore comment la capacité de travail du recourant a évolué entre décembre 2013 et juillet 2015, date à laquelle le Dr J_______ a proposé une réorientation tout en indiquant que la capacité de travail était nulle dans l’activité habituelle. La Dresse L_______ admettait d’ailleurs dans son avis du 9 juin 2015 ne pas disposer des renseignements nécessaires sur l’évolution de la lésion à l’épaule. La Dresse M_______, dans son avis du 31 août 2015, a évoqué des limitations fonctionnelles valables depuis octobre 2012, sans se prononcer formellement sur la capacité de travail du recourant. On ignore si elle entendait par là que le recourant serait en mesure d’exercer une activité adaptée à ces limitations dès cette date. Ses conclusions ne sont quoi qu’il en soit nullement motivées et ne correspondent pas aux éléments du dossier, puisqu’elles ne tiennent pas compte de la lésion à l’épaule, de sorte qu’elles n’emportent pas la conviction. L’intimé a retenu dans son rapport du 12 février 2016 que la reprise du travail à plein temps était effective depuis le 1er mars 2013. Outre le fait que cette appréciation diverge de celle du SMR, elle témoigne d’une mauvaise lecture du dossier. Comme on l’a vu, le recourant ne subissait certes plus d’incapacité de travail imputable à l’accident d’août 2011 dès cette date. À cette période, sa capacité de travail était néanmoins réduite à néant en raison des problèmes à l’épaule, selon l’incapacité de travail attestée par le Dr H_______ et le Dr J_______, dont l’expert mandaté par la Bâloise ne s’est pas non plus écarté. En outre, l’intimé se réfère au rapport du Dr R_______ du 24 juillet 2015 pour conclure à une pleine capacité de travail, alors que dans son rapport du 18 août 2015, ce neurologue émettait une réserve sur la capacité de travail en ce sens que la reprise du travail devait être examinée avec le Dr J_______. Les limitations fonctionnelles retenues par l’intimé, qui cite uniquement l’impossibilité de monter sur une échelle, ne sont pas non plus conformes à celles émises par le SMR. De plus, la décision de l’intimé est pour le moins contradictoire, puisqu’elle retient une incapacité de travail de 50 % du 25 juin au 7 novembre 2012, de 100 % du 8 novembre 2012 au 2 janvier 2013, de 50 % du 3 au 31 janvier 2013 et de 25 % du</w:t>
      </w:r>
    </w:p>
    <w:p>
      <w:r>
        <w:t>A/1759/2016 - 21/24 - 1er février au 10 mars 2013, tout en soutenant que la capacité de travail serait totale dans l’activité professionnelle habituelle en respectant les limitations fonctionnelles présentes depuis octobre 2012. Eu égard à ce qui précède, la chambre de céans ne dispose pas des éléments médicaux nécessaires pour statuer sur le droit aux prestations du recourant. La cause doit ainsi être renvoyée à l’intimé, à charge pour ce dernier d’établir comment la capacité de travail du recourant a évolué et pour quels motifs l’intervention planifiée à l’épaule n’a le cas échéant pas eu lieu. Dans ce contexte, et dans l’hypothèse où cette intervention aurait été refusée par le recourant, il y aura lieu de déterminer si elle est exigible et dans quelle mesure elle permettrait d’améliorer la capacité de travail et de gain du recourant. Une fois doté de ces renseignements, il appartiendra à l’intimé de calculer le degré d’invalidité du recourant. Sur ce point, la chambre de céans relève que le recours à la méthode extraordinaire, s’il devait s’avérer que l’activité habituelle du recourant est celle qui met le mieux en valeur sa capacité de gain, ne prête pas flanc à la critique. Au vu des variations importantes qu’a connues le revenu du recourant avant l’atteinte à sa santé, il est également conforme au droit de recourir à des revenus statistiques. Les différents revenus statistiques auxquels s’est référé l’intimé – soit les activités de services administratifs de niveau 1 pour les hommes (lignes 77,79-82 du tableau TA1_ Skill Level de l’ESS 2012), les activités liées à l'emploi de niveau 1 pour les hommes (ligne 78 du tableau TA1_ Skill Level de l’ESS 2012) et les activités de transports terrestres, par eau, aériens; entreposage de niveau 1 pour les hommes (lignes 49-52 du tableau TA1_ Skill Level de l’ESS 2012) peuvent également être confirmés. S’agissant de la fixation du revenu sans invalidité, l’intimé devra toutefois également tenir compte du revenu réalisé pour la coopérative E_______ s’il s’avère que le recourant a mis un terme à ses fonctions d’administrateur pour des motifs de santé. En effet, pour déterminer le revenu avant invalidité, on prend en considération tous les revenus réalisés, y compris ceux tirés d’une activité accessoire lorsque l’assuré a exercé plusieurs activités avant d’être atteint dans sa santé (SVR 1996 IV n° 89 consid. 3b, Ulrich KIESER, ATSG-Kommentar, 3ème éd. 2015, n. 28 ad art. 16 LPGA). S’agissant en revanche de la pondération des différentes activités déployées dans la société, l’intimé ne peut être suivi lorsqu’il affirme que 80 % du temps du recourant était dévolu à des activités de direction et de coordination, et seulement 20 % des heures de travail à des activités manuelles. En effet, on soulignera en premier lieu qu’il ne ressort pas du rapport du 12 février 2016 que l’intimé aurait interrogé le recourant sur ces points. Même si tel avait été le cas, il convient de rappeler qu’un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w:t>
      </w:r>
    </w:p>
    <w:p>
      <w:r>
        <w:t>A/1759/2016 - 22/24 - l'objet d'une demande écrite (ATF 117 V 282 consid. 4c). Or, le recourant n’a jamais signé le rapport du 12 février 2016. À la lecture de ce document, on peine d’ailleurs à distinguer entre les éléments qui ressortent des déclarations du recourant et ceux qui relèvent de conjectures de l’intimé. En ce qui concerne les entretiens avec la SUVA, la Bâloise et le Dr K_______, si le recourant a bien relevé que son collègue s’occupait des aspects administratifs lorsqu’il a décrit ses activités à la SUVA en février 2012, il n’a pas indiqué de pourcentages de temps consacrés aux différentes activités rapportées. Lors de son entretien du 25 juin 2012, le recourant n’a pas non plus précisé la part que représentaient les activités de direction. Lors de son entretien avec le Dr K_______, il a mis l’emphase sur les travaux manuels à effectuer dans la description des tâches qui lui incombaient, une nouvelle fois sans articuler de découpage temporel. Ainsi, contrairement à ce qu’affirme l’intimé, les déclarations du recourant ne sont nullement contradictoires. Par ailleurs, ce dernier a de manière constante souligné que les tâches administratives étaient confiées à son associé. L’importance des notes de frais de M. S_______, qui portent sur une période antérieure à l’accident, tend a priori à confirmer que ce dernier assumait la majeure partie, si ce n’est l’entier des activités de coordination et de gestion. Partant, il n’est pas démontré au degré de la vraisemblance prépondérante exigible en assurances sociales que le recourant ait consacré 80 % de son temps de travail aux activités non manuelles avant la survenance de ses atteintes à la santé. Certes, il est exigible du recourant eu égard à son obligation de réduire le dommage qu’il procède à une nouvelle répartition des tâches dans sa société et qu’il reprenne les activités administratives. Cela étant, les documents comptables révèlent une importante diminution du chiffre d’affaires, ainsi qu’une réduction de l’effectif. Les tâches liées à la coordination et à la gestion du personnel ont ainsi inévitablement perdu en importance. Partant, il n’est pas non plus établi qu’une réorganisation du travail permette de réduire de manière significative le degré d’invalidité du recourant en lui permettant de consacrer 80 % de son temps à des activités de direction, de gestion et de coordination. Compte tenu de ces éléments, la pondération des activités avant et après l’atteinte à la santé n’est pas établie au degré de la vraisemblance prépondérante. Il incombera à l’intimé de compléter l’instruction sur ce point, par exemple en interpellant le recourant et en interrogeant des témoins, dont les (anciens) employés ou associés de la société, voire des clients de cette dernière. Ceci fait, il devra cas échéant également examiner si un changement d’activité est exigible au vu de l’obligation de réduire le dommage, avant de rendre une nouvelle décision sur le droit à la rente et à des mesures d’ordre professionnel du recourant. 41. Au vu de ce qui précède, la décision de l’intimé ne s’avère pas fondée, de sorte que le recours sera partiellement admis.</w:t>
      </w:r>
    </w:p>
    <w:p>
      <w:r>
        <w:t>A/1759/2016 - 23/24 - Le recourant, assisté d’un avocat, a droit à des dépens qui seront en l’espèce fixés à CHF 2'000.- (art. 61 let. g LPGA). La procédure en assurance-invalidité n’étant pas gratuite, l’intimé, qui succombe, supporte l’émolument de CHF 500.- (art. 69 al. 1bis LAI).</w:t>
      </w:r>
    </w:p>
    <w:p>
      <w:r>
        <w:t>* * * * *</w:t>
      </w:r>
    </w:p>
    <w:p>
      <w:r>
        <w:t>A/1759/2016 - 24/24 -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