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ATAS/15/2016 vom 13. Januar 2016</w:t>
      </w:r>
    </w:p>
    <w:p>
      <w:r>
        <w:t>GE Cour de justice, 2016-01-13, FR</w:t>
      </w:r>
    </w:p>
    <w:p>
      <w:r>
        <w:rPr>
          <w:b/>
        </w:rPr>
        <w:t xml:space="preserve">Quelle: </w:t>
      </w:r>
      <w:r>
        <w:t>https://mcp.opencaselaw.ch/entscheid/ge_gerichte_ATAS_15_2016</w:t>
      </w:r>
    </w:p>
    <w:p>
      <w:r>
        <w:t>FR: GE_GERICHTE ATAS/15/2016 du 13 janvier 2016</w:t>
      </w:r>
    </w:p>
    <w:p>
      <w:r>
        <w:t>IT: GE_GERICHTE ATAS/15/2016 del 13 gennaio 2016</w:t>
      </w:r>
    </w:p>
    <w:p>
      <w:pPr>
        <w:pStyle w:val="Heading2"/>
      </w:pPr>
      <w:r>
        <w:t>Erwägungen</w:t>
      </w:r>
    </w:p>
    <w:p>
      <w:r>
        <w:rPr>
          <w:b/>
        </w:rPr>
        <w:t>E. 1</w:t>
      </w:r>
    </w:p>
    <w:p>
      <w:r>
        <w:t>Conformément à l'art. 134 al. 1 let. a ch. 2 de la loi sur l'organisation judiciaire, du 26 septembre 2010 (LOJ - RS/GE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t>A/3311/2014 - 11/27 -</w:t>
      </w:r>
    </w:p>
    <w:p>
      <w:r>
        <w:rPr>
          <w:b/>
        </w:rPr>
        <w:t>E. 3</w:t>
      </w:r>
    </w:p>
    <w:p>
      <w:r>
        <w:t>Les modifications de la loi fédérale sur l'assurance-invalidité du 21 mars 2003 (4ème révision), du 6 octobre 2006 (5ème révision) et du 18 mars 2011 (révision 6a), entrées en vigueur respectivement le 1er janvier 2004,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En l'espèce, du point de vue matériel, au vu des faits pertinents, le droit éventuel aux prestations doit être examiné en fonction des modifications de la LAI consécutives aux 4ème, 5ème et 6ème révisions,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concernant la modification de la loi fédérale sur l'assurance- invalidité du 22 juin 2005, FF 2005 p. 4322).</w:t>
      </w:r>
    </w:p>
    <w:p>
      <w:r>
        <w:rPr>
          <w:b/>
        </w:rPr>
        <w:t>E. 4</w:t>
      </w:r>
    </w:p>
    <w:p>
      <w:r>
        <w:t>Interjeté dans les forme et délai prescrits par la loi, le présent recours est recevable (art. 56 et 60 LPGA ; art. 89B de la loi sur la procédure administrative du 12 septembre 1985 – LPA; RS/GE E 5 10).</w:t>
      </w:r>
    </w:p>
    <w:p>
      <w:r>
        <w:rPr>
          <w:b/>
        </w:rPr>
        <w:t>E. 5</w:t>
      </w:r>
    </w:p>
    <w:p>
      <w:r>
        <w:t>Le litige porte sur le point de savoir si l’état de santé du recourant, respectivement sa capacité de gain, s’est modifié dans une mesure influençant ses droits, et ce depuis la décision initiale de l’intimé du 27 février 2012.</w:t>
      </w:r>
    </w:p>
    <w:p>
      <w:r>
        <w:rPr>
          <w:b/>
        </w:rPr>
        <w:t>E. 6</w:t>
      </w:r>
    </w:p>
    <w:p>
      <w:r>
        <w:t>Lorsque la rente a été refusée une première fois parce que le degré d'invalidité était insuffisant, la nouvelle demande ne peut être examinée que si l'assuré rend plausible que son invalidité s'est modifiée de manière à influencer ses droits (art. 87 al. 3 et 4 RAI dans leur teneur en vigueur jusqu'au 31 décembre 2011; art. 87 al. 2 et 3 dès le 1er janvier 2012 ; ATF 109 V 262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 ATF 117 V 198 consid. 4b et les références). Lorsque l'administration est entrée en matière selon l'art. 87 al. 4 en lien avec l'al. 3 RAI, il convient d'examiner, par analogie avec l'art. 17 LPGA (ATF 130 V 71 consid. 3.2), si entre la décision de refus de prestations entrée en force et la décision litigieuse, un changement important des circonstances propre à influencer le degré d'invalidité, et donc le droit à la rente, s'est produit (ATF 130 V 343 consid. 3.5.2).</w:t>
      </w:r>
    </w:p>
    <w:p>
      <w:r>
        <w:t>A/3311/2014 - 12/27 -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À</w:t>
      </w:r>
    </w:p>
    <w:p>
      <w:r>
        <w:t>A/3311/2014 - 13/27 -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 ATF 102 V 165; VSI 2001 p. 224 consid. 2b et les références).</w:t>
      </w:r>
    </w:p>
    <w:p>
      <w:r>
        <w:rPr>
          <w:b/>
        </w:rPr>
        <w:t>E. 9</w:t>
      </w:r>
    </w:p>
    <w:p>
      <w:r>
        <w:t>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w:t>
      </w:r>
    </w:p>
    <w:p>
      <w:r>
        <w:t>A/3311/2014 - 14/27 - IV n° 45 p. 149), à l’hypersomnie (ATF 137 V 64 consid. 4) ainsi qu'en matière de troubles moteurs dissociatifs (arrêt du Tribunal fédéral 9C_903/2007 du 30 avril 2008 consid. 3.4) et de traumatisme du type « coup du lapin » (ATF 136 V 279 consid. 3.2.3; arrêt du Tribunal fédéral 8C_10/2015 du 5 septembre 2015 destiné à la publication consid. 5.2). En revanche, ils ne sont pas applicables par analogie à la fatigue liée au cancer (cancer-related Fatigue) (ATF 139 V 346 consid. 3; arrêt du Tribunal fédéral 9C_73/2013 du 2 septembre 2013 consid. 5).</w:t>
      </w:r>
    </w:p>
    <w:p>
      <w:r>
        <w:rPr>
          <w:b/>
        </w:rPr>
        <w:t>E. 10</w:t>
      </w:r>
    </w:p>
    <w:p>
      <w:r>
        <w:t>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w:t>
      </w:r>
    </w:p>
    <w:p>
      <w:r>
        <w:rPr>
          <w:b/>
        </w:rPr>
        <w:t>E. 11</w:t>
      </w:r>
    </w:p>
    <w:p>
      <w:r>
        <w:t>Dans un arrêt récent (ATF 141 V 281), le Tribunal fédéral a abandonné la présomption qui prévalait jusqu’à ce jour, selon laquelle les syndromes du type troubles somatoformes douloureux et affections psychosomatiques assimilées</w:t>
      </w:r>
    </w:p>
    <w:p>
      <w:r>
        <w:t>A/3311/2014 - 15/27 -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w:t>
      </w:r>
    </w:p>
    <w:p>
      <w:r>
        <w:t>A/3311/2014 - 16/27 -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w:t>
      </w:r>
    </w:p>
    <w:p>
      <w:r>
        <w:t>A/3311/2014 - 17/27 -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w:t>
      </w:r>
    </w:p>
    <w:p>
      <w:r>
        <w:rPr>
          <w:b/>
        </w:rPr>
        <w:t>E. 12</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w:t>
      </w:r>
    </w:p>
    <w:p>
      <w:r>
        <w:t>A/3311/2014 - 18/27 -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 648/03 du 18 septembre 2004 consid. 5.1.3 et 5.1.4). Quand bien même le diagnostic de fibromyalgie est d'abord le fait d'un médecin rhumatologue, il convient ici aussi d'exiger le concours d'un médecin spécialiste en</w:t>
      </w:r>
    </w:p>
    <w:p>
      <w:r>
        <w:t>A/3311/2014 - 19/27 -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 peut plus du tout ou seulement partiellement être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arrêt du Tribunal fédéral des assurances I 652/04 du 3 avril 2006 consid. 2.3). En ce qui concerne les rapports établis par les médecins-traitants, le juge peut et doit tenir compte du fait que, selon l'expérience, le médecin-traitant est généralement enclin, en cas de doute, à prendre parti pour son patient en raison de la relation de confiance qui l'unit à ce dernier (ATF 125 V 351 consid. cc). On ajoutera qu'en cas de divergence d’opinion entre experts et médecins-traitants,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166 consid. 4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13</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arrêt du Tribunal fédéral des assurances I 751/03 du 19 mars 2004 consid. 3.3,).</w:t>
      </w:r>
    </w:p>
    <w:p>
      <w:r>
        <w:t>A/3311/2014 - 20/27 -</w:t>
      </w:r>
    </w:p>
    <w:p>
      <w:r>
        <w:rPr>
          <w:b/>
        </w:rPr>
        <w:t>E. 14</w:t>
      </w:r>
    </w:p>
    <w:p>
      <w:r>
        <w:t>En l’espèce, la chambre de céans constate préalablement que l’intimé est entré en matière sur la nouvelle demande du recourant. Il convient donc d’examiner si la situation de ce dernier a subi, depuis la décision du 27 février 2012, un changement important propre à influencer son degré d’invalidité, et donc son droit à la rente.</w:t>
      </w:r>
    </w:p>
    <w:p>
      <w:r>
        <w:rPr>
          <w:b/>
        </w:rPr>
        <w:t>E. 15</w:t>
      </w:r>
    </w:p>
    <w:p>
      <w:r>
        <w:t>novembre 2013 du Dr G______ et du 29 novembre 2013 du Dr H______, le SMR a conclu à l’absence de modification durable et manifeste de l’état de santé du recourant (avis du 7 avril 2014). Cette appréciation a été maintenue après réception des rapports des médecins traitants (avis des 23 septembre 2014 et 5 janvier 2015).</w:t>
      </w:r>
    </w:p>
    <w:p>
      <w:r>
        <w:rPr>
          <w:b/>
        </w:rPr>
        <w:t>E. 16</w:t>
      </w:r>
    </w:p>
    <w:p>
      <w:r>
        <w:t>Il sied donc de se déterminer sur la valeur probante de ces différents documents. a. Concernant le rapport du Dr G______, la chambre de céans relève tout d’abord que sa très brève anamnèse est manifestement lacunaire sur des faits essentiels. A titre d’exemple, ce psychiatre a simplement relaté que tous les membres de la famille du recourant étaient décédés, sans référence aucune aux circonstances particulièrement tragiques des événements, dont il ne semble pas avoir été informé. A cet égard, la chambre de céans observe que les spécialistes qui suivent actuellement le recourant ont expliqué que ce dernier « écarte de sa conscience » les épisodes traumatiques, beaucoup trop angoissants et pénibles, dont il évitait de parler au début de leur prise en charge, soit à l’époque à laquelle le Dr G______ a rédigé son rapport. De plus, cet expert ne paraît pas avoir été en possession d’un dossier complet, et en particulier des rapports d’expertise de la Dresse E______ et du Dr F______, dans la mesure où le seul rapport médical cité</w:t>
      </w:r>
    </w:p>
    <w:p>
      <w:r>
        <w:t>A/3311/2014 - 21/27 - est celui du médecin traitant daté du 3 septembre 2013. En outre, ses conclusions ne sont pas motivées, étant rappelé qu’il s’est limité à retenir « deux critères majeurs et deux à mineurs correspondant à un diagnostic d’épisode dépressif léger », sans préciser ces critères. Des explications circonstanciées s’imposaient pourtant, ce d’autant plus que des idéations suicidaires ont été mentionnées parmi les plaintes subjectives. Enfin, il est surprenant que le Dr G______ n’ait pas requis l’assistance d’un interprète, alors qu’il a souligné la « pauvreté du stock lexical ». Compte tenu de ce qui précède, ce rapport ne remplit manifestement pas les réquisits jurisprudentiels pour se voir reconnaître une valeur probante. b. Quant au rapport du Dr H______, la chambre de céans constate d’emblée que si l’anamnèse semble détaillée, les événements tragiques vécus par le recourant ne sont à nouveau pas abordés. En effet, l’expert a consigné que le frère et la sœur du recourant étaient « malheureusement décédés en bas âge » et que l’intéressé, « pour des raisons de menaces non précisées », avait dû quitter son pays. En outre, aucune référence n’est faite aux expertises précédentes, dont le Dr H______ ne semble pas avoir eu connaissance. S’agissant du diagnostic, ce rhumatologue a conclu à des rachialgies chroniques et à la suspicion d’un état dépressif, expliquant que l’ensemble du tableau s’apparentait à des troubles somatoformes douloureux. Il n’a toutefois pas examiné si les critères en faveur d’une fibromyalgie étaient réunis, de sorte que son examen est incomplet. De plus, les conclusions du rapport paraissent contradictoires en ce sens que l’expert retient l’absence de lésion organique contre- indiquant une reprise de l’activité habituelle, et donc une capacité de travail complète, tout en faisant état d’une diminution de rendement de 20% en raison des douleurs chroniques, ajoutant que, dans une activité adaptée « moins lourde exempte de port de charges à répétition et de positions statiques à répétition », ladite capacité est entière sans baisse de rendement. Enfin, la chambre de céans relèvera que l’expert a cité le rapport d’IRM lombaire réalisée en avril 2012, examen ayant mis en évidence une protrusion en L5-S1 responsable de sténose foraminale, sans exposer si cette atteinte pouvait expliquer une partie des douleurs. Il a uniquement conclu à l’absence de lésion organique contre-indiquant une reprise de l’activité habituelle, sans discuter davantage son diagnostic de rachialgies chroniques. Les conclusions du Dr H______ n’emportent donc pas la conviction de la chambre de céans. c. Le Dr J______ et Mme K______ de l’Association Appartenance ont diagnostiqué un épisode dépressif sévère sans symptômes psychotiques, une anxiété généralisée et un état de stress post-traumatique, troubles existants dès le début de leur prise en charge, en novembre 2013 (rapport du 26 juin 2014). En novembre 2014, ils ont qualifié le trouble dépressif récurrent, avec syndrome somatique, de moyen et retenu un syndrome douloureux somatoforme douloureux, en sus des diagnostics déjà mentionnés (rapport du 27 novembre 2014). Ces spécialistes ont observé un isolement et un retrait social important, et relevé que peu de choses</w:t>
      </w:r>
    </w:p>
    <w:p>
      <w:r>
        <w:t>A/3311/2014 - 22/27 - étaient source d’intérêt et de plaisir (rapport du 26 juin 2014). Les activités que le recourant prenait du plaisir à faire auparavant ne l’intéressaient plus (rapport du 27 novembre 2014). Son sommeil n’était pas réparateur à cause des cauchemars et il se plaignait d’une fatigue importante (rapport du 26 juin 2014), d’endormissements fréquents, de douleurs importantes et avait peur de mourir (rapport du 27 novembre 2014). Au début de leur prise en charge, le recourant était profondément déprimé et manifestait de l’anxiété avec des symptômes somatiques à l’évocation des événements traumatiques, dont il évitait de parler (rapport du 26 juin 2014). Il exprimait des idées noires, parvenait difficilement à s’occuper de sa fille et à gérer son quotidien. Les symptômes dépressifs avaient augmenté et une hospitalisation avait même été envisagée en mai 2014. Sa situation de couple était en outre très conflictuelle. Bien qu’une médication fut introduite, les symptômes dépressifs perduraient et l’état du recourant demeurait très fragile. Pris dans l’urgence de sa survie, après avoir vécu des événements catastrophiques et traumatiques hors du commun, il avait réussi à mener une vie normale, mais au prix d’un fort clivage, et tout ce qui concernait les épisodes traumatiques de son passé était « écarté » de sa conscience, car beaucoup trop angoissant. Cet édifice de souffrances pouvait toutefois refaire irruption lorsqu’un événement de la vie actuelle engendrait un nouveau stress, réactivant les précédents. À titre de facteur ayant pu constituer ce deuxième déclencheur, les spécialistes ont cité la situation conflictuelle lors du dernier emploi, mais aussi la situation du couple et la paternité. Les manifestations de stress post-traumatique étaient atypiques car il n’y avait pas d’évitement, de reviviscences ou de flash-back francs, mais des clivages et de la forclusion. Le recourant ne se rappelait pas des événements traumatiques passés qui surgissaient pourtant dans le présent (rapport du 27 novembre 2014). L’incapacité de travail était totale, le recourant présentant des difficultés à gérer les situations stressantes, ainsi que des difficultés de concentration et d’attention, et une irritabilité. L’activité habituelle n’était plus exigible, mais un travail à raison de 4 heures par jour était envisageable (rapport du 26 juin 2014). Ces rapports, établis en pleine connaissance du dossier, sur la base d’une anamnèse détaillée et complète, et dont les conclusions sont dûment motivées, permettent de retenir que la situation du recourant s’est aggravée depuis le décision de février 2012, étant rappelé qu’aucun trouble psychique n’avait alors été diagnostiqué. Contrairement à ce que retient le SMR dans ses avis des 23 septembre 2014 et 5 janvier 2015, on ne saurait considérer que le Dr J______- et Mme K______ se livrent à une interprétation différente d’une situation identique, puisqu’il ressort clairement de leurs observations que l’état psychique du recourant s’est dégradé. Après le prononcé de la première décision, des idées noires avec des scénarii précis, l’envie d’en finir, un retrait social important, des angoisses, la perte de tout plaisir ont, entre autres, été signalés. Ces spécialistes ont expliqué que des événements récents stressants, à l’instar des conflits de couple et de la paternité, étaient des éléments ayant aggravé les symptômes.</w:t>
      </w:r>
    </w:p>
    <w:p>
      <w:r>
        <w:t>A/3311/2014 - 23/27 -</w:t>
      </w:r>
    </w:p>
    <w:p>
      <w:r>
        <w:rPr>
          <w:b/>
        </w:rPr>
        <w:t>E. 17</w:t>
      </w:r>
    </w:p>
    <w:p>
      <w:r>
        <w:t>Eu égard à tout ce qui précède, la chambre de céans considère que l’aggravation de l’état de santé psychique du recourant, depuis la décision du 27 février 2012, est établie. Sur le plan somatique, une IRM réalisée en avril 2012 a révélé une discopathie L5-S1, dont la relation avec les lombalgies chroniques, tout comme les éventuelles limitations fonctionnelles et répercussions sur la capacité de travail, n’ont pas été examinés à satisfaction.</w:t>
      </w:r>
    </w:p>
    <w:p>
      <w:r>
        <w:rPr>
          <w:b/>
        </w:rPr>
        <w:t>E. 18</w:t>
      </w:r>
    </w:p>
    <w:p>
      <w:r>
        <w:t>Partant, la chambre de céans entend mettre en œuvre une expertise multidisciplinaire tenant compte des aspects somatiques et psychiques, moyen le plus adéquat pour établir de manière objective si la capacité de travail et donc le taux d’invalidité du recourant s’est modifié depuis la décision initiale de l’intimé.</w:t>
      </w:r>
    </w:p>
    <w:p>
      <w:r>
        <w:rPr>
          <w:b/>
        </w:rPr>
        <w:t>E. 19</w:t>
      </w:r>
    </w:p>
    <w:p>
      <w:r>
        <w:t>L’expertise sera confiée au docteur M______, spécialiste FMH en rhumatologie, et au docteur N______, spécialiste FMH en psychiatrie, lesquels devront prendre tous les renseignements nécessaires auprès des médecins ayant examiné le recourant.</w:t>
      </w:r>
    </w:p>
    <w:p>
      <w:r>
        <w:t>A/3311/2014 - 24/27 - PAR CES MOTIFS, LA CHAMBRE DES ASSURANCES SOCIALES : Statuant préparatoirement 1. Ordonne une expertise rhumatologique et psychiatrique de Monsieur A______. 2. Commet à ces fins les docteurs M______, spécialiste FMH en rhumatologie, et N______, spécialiste FMH en psychiatrie et psychothérapie. 3. Dit que la mission d’expertise est la suivante : a) prendre connaissance du dossier de l’intimé ainsi que du dossier de la présente procédure. b) examiner et entendre le recourant. c) prendre tous renseignements utiles auprès des médecins ayant traité le recourant. d) si nécessaire, ordonner d’autres examens et /ou s’entourer d’avis de tiers. 4. Charge les experts de répondre aux questions suivantes : 1. Quelle est l’anamnèse détaillée du cas ? 2. Quelles sont les données subjectives et les plaintes du recourant ? 3. Quelles sont vos constatations objectives ? 4. Quelles est l’atteinte à la santé dont souffre le recourant (diagnostic(s) selon la classification internationale) ? 5. S'agissant d’éventuels troubles somatiques, répondre aux questions suivantes: a) Depuis le 27 février 2012, le recourant souffre-t-il de troubles somatiques ? Si oui, lesquels ? En particulier, présente-t-il une fibromyalgie ? b) Les plaintes du recourant sont-elles objectivées ? c) Le recourant suit-il un traitement adéquat ? d) Quelles sont les limitations fonctionnelles dues à chaque diagnostic ? e) Quelle a été l’évolution de l’état de santé du recourant entre le 27 février 2012 et septembre 2014 ?</w:t>
      </w:r>
    </w:p>
    <w:p>
      <w:r>
        <w:t>En cas de changement dans l’état de santé (amélioration ou aggravation), préciser la date de ces changements et leur contexte.</w:t>
      </w:r>
    </w:p>
    <w:p>
      <w:r>
        <w:t>A/3311/2014 - 25/27 - 6. S'agissant de troubles psychiques éventuels, répondre aux questions suivantes: a) Depuis le 27 février 2012, le recourant souffre-t-il de troubles psychiques ? Si oui, lesquels ? b) Quel est le degré de gravité de chacun de ceux-ci (faible, moyen, grave) ? c) Ces troubles psychiques ont-ils valeur de maladie en tant que telle selon le DSM IV ou la CIM-10 ? d) Quelles sont les limitations fonctionnelles dues à chaque diagnostic ? e) Les troubles psychiques constatés nécessitent-ils une prise en charge spécialisée? f) La compliance est-elle bonne ? g) Quelle a été l’évolution de l’état de santé du recourant entre le 27 février 2012 et septembre 2014? En cas de changement dans l’état de santé (amélioration ou aggravation), préciser la date de ces changements et leur contexte. h) En cas de trouble somatoforme douloureux ou de fibromyalgie : - Le trouble s’inscrit-il dans un contexte de conflit émotionnel ou de problèmes psychosociaux ? - Quelle est la gravité des atteintes ? Le degré permettant de poser le diagnostic est-il juste atteint, dépassé ou largement dépassé ? - Quelles sont les répercutions fonctionnelles sur l’ensemble des aspects de la vie quotidienne et du travail ? - De quelle manière le trouble et les répercutions fonctionnelles évoluent-t-ils en termes de gravité ? - L’expertisé bénéficie-t-il d’un traitement approprié en fonction de l’état des connaissances médicales ? Quel est le succès de ce traitement ? La compliance est-elle bonne ? - Quel est le pronostic ? - Existe-t-il une comorbidité psychiatrique ? - Quelle est la structure de la personnalité de l’expertisé et les éventuels troubles de la personnalité ? - Décèle-t-on des circonstances indiquant une exagération de la part de l’expertisé ? Cas échéant, lesquelles ? Une éventuelle</w:t>
      </w:r>
    </w:p>
    <w:p>
      <w:r>
        <w:t>A/3311/2014 - 26/27 - exagération est-elle à mettre en lien avec une incapacité de l’expertisé à reconnaître sa maladie. - Le comportement de l’expertisé est-il globalement cohérent ? En particulier, sa demande en termes de thérapies et sa coopération est-elle en adéquation avec l’étendue des souffrances ? - D’une manière globale, l’expertisé dispose-t-il de ressources suffisantes pour surmonter son affection ? Veuillez expliquer et motiver votre réponse. 7. Mentionner, pour chaque diagnostic posé, puis globalement, les conséquences de(s) atteinte(s) somatique(s) et psychique(s) sur la capacité de travail, en pourcent : a) dans l’activité habituelle ; b) dans une activité adaptée (préciser en quoi pourrait consister celle-ci). 8. Indiquer l'évolution du taux d'incapacité de travail, en pourcent, entre le 27 février 2012 et septembre 2014. Dire s'il y a une diminution de rendement, dans l’activité habituelle, respectivement dans une activité adaptée, et la chiffrer. 9. Évaluer les chances de succès d’une réadaptation professionnelle et indiquer en quoi devrait consister celle-ci. 10. Évaluer la possibilité d'améliorer la capacité de travail par des mesures médicales. Indiquer quelles seraient les propositions thérapeutiques et leur influence sur la capacité de travail. Indiquer si les mesures en question seraient exigibles du recourant et pourquoi. 11. En cas de conclusions divergentes de celles ressortant des rapports d’expertise du 15 novembre 2013 du Dr G______ et du 29 novembre 2013 du Dr H______, et/ou de celles du Dr J______ et de Mme K______, et/ou de celles des médecins traitants sur la question des diagnostics, des limitations et de la capacité de travail du recourant, veuillez en expliquer les raisons et motiver vos conclusions. 12. Formuler un pronostic global. 13. Toute remarque utile et proposition des experts. 5. Invite les experts à faire une appréciation consensuelle du cas s’agissant de toutes les problématiques ayant des interférences entre elles, notamment l’appréciation de la capacité de travail résiduelle. 6. Invite les experts à déposer à leur meilleure convenance un rapport en trois exemplaires à la chambre de céans.</w:t>
      </w:r>
    </w:p>
    <w:p>
      <w:r>
        <w:t>A/3311/2014 - 27/27 - 7. Réserve le sort des frais et le fond.</w:t>
      </w:r>
    </w:p>
    <w:p>
      <w:r>
        <w:t>La greffière</w:t>
      </w:r>
    </w:p>
    <w:p>
      <w:r>
        <w:t>Nathalie LOCHER</w:t>
      </w:r>
    </w:p>
    <w:p>
      <w:r>
        <w:t>La Présidente</w:t>
      </w:r>
    </w:p>
    <w:p>
      <w:r>
        <w:t>Doris GALEAZZI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