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ATAS/15/2015 vom 14. Januar 2015</w:t>
      </w:r>
    </w:p>
    <w:p>
      <w:r>
        <w:t>GE Cour de justice, 2015-01-14, FR</w:t>
      </w:r>
    </w:p>
    <w:p>
      <w:r>
        <w:rPr>
          <w:b/>
        </w:rPr>
        <w:t xml:space="preserve">Quelle: </w:t>
      </w:r>
      <w:r>
        <w:t>https://mcp.opencaselaw.ch/entscheid/ge_gerichte_ATAS_15_2015</w:t>
      </w:r>
    </w:p>
    <w:p>
      <w:r>
        <w:t>FR: GE_GERICHTE ATAS/15/2015 du 14 janvier 2015</w:t>
      </w:r>
    </w:p>
    <w:p>
      <w:r>
        <w:t>IT: GE_GERICHTE ATAS/15/2015 del 14 gennaio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Le tribunal des assurances compétent es celui du canton de domicile de l’assuré ou d’une autre partie au moment du dépôt du recours (art. 58 al. 1 LPGA). Selon l’art. 58 al. 2 LPGA, si l’assuré ou une autre partie sont domiciliés à l’étranger, le tribunal des assurances compétent est celui du canton de leur dernier domicile en Suisse ou celui du canton de domicile de leur dernier employeur en Suisse.</w:t>
      </w:r>
    </w:p>
    <w:p>
      <w:r>
        <w:t>A/1865/2014 - 8/13 - En l’occurrence, la recourante, domiciliée en France, travaille à Genève pour le compte des HUG. Au vu de ce qui précède, la compétence ratione materiae et loci de la chambre de céans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articles 56ss LPGA.</w:t>
      </w:r>
    </w:p>
    <w:p>
      <w:r>
        <w:rPr>
          <w:b/>
        </w:rPr>
        <w:t>E. 3.1</w:t>
      </w:r>
    </w:p>
    <w:p>
      <w:r>
        <w:t>p. 181, 402 consid. 4.3.1 p. 406).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w:t>
      </w:r>
    </w:p>
    <w:p>
      <w:r>
        <w:t>A/1865/2014 - 9/13 -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1994 n° U 206 p. 326 consid. 3b, 1992 n° U 142 p. 75; arrêts 8C_1003/2010 du 22 novembre 2011 consid. 1.2; 8C_552/2007 du 19 février 2008 consid. 2). A contrario, aussi longtemps que le statu quo sine vel ante n'est pas rétabli, l'assureur-accidents doit prendre à sa charge le traitement de l'état maladif préexistant, dans la mesure où il s'est manifesté à l'occasion de l'accident ou a été aggravé par ce dernier (arrêt 8C_373/2013 du 11 mars 2014 consid. 3.2).</w:t>
      </w:r>
    </w:p>
    <w:p>
      <w:r>
        <w:rPr>
          <w:b/>
        </w:rPr>
        <w:t>E. 4</w:t>
      </w:r>
    </w:p>
    <w:p>
      <w:r>
        <w:t>L’objet du litige porte sur le point de savoir si l’intimée était fondée à mettre fin aux prestations à la date du 2 décembre 2013, au motif qu’à cette date le statu quo sine était atteint, ou si, ainsi que l’allègue la recourante, la hernie cervicale a été en réalité déclenchée par l’accident. Il convient de relever à titre préalable que l’intimée a déjà pris en charge les frais de l’intervention subie par la recourante au See-Spital en janvier 2014 ainsi que de l’hospitalisation y afférente.</w:t>
      </w:r>
    </w:p>
    <w:p>
      <w:r>
        <w:rPr>
          <w:b/>
        </w:rPr>
        <w:t>E. 5</w:t>
      </w:r>
    </w:p>
    <w:p>
      <w:r>
        <w:t>Selon l'art. 6 al. 1 LAA, les prestations d'assurance sont allouées en cas d'accident professionnel, d'accident non professionnel et de maladie professionnelle. Le droit à des prestations découlant d'un accident assuré suppose, entre l'événement dommageable de caractère accidentel et l'atteinte à la santé, un lien de causalité naturelle (et adéquate). Cette exigence est remplie lorsqu'il y a lieu d'admettre que, sans cet événement accidentel, le dommage ne se serait pas produit du tout, ou qu'il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w:t>
      </w:r>
    </w:p>
    <w:p>
      <w:r>
        <w:rPr>
          <w:b/>
        </w:rPr>
        <w:t>E. 6</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A/1865/2014 - 10/13 -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w:t>
      </w:r>
    </w:p>
    <w:p>
      <w:r>
        <w:rPr>
          <w:b/>
        </w:rPr>
        <w:t>E. 7</w:t>
      </w:r>
    </w:p>
    <w:p>
      <w:r>
        <w:t>En l’espèce, se fondant sur le rapport de son médecin-conseil, l’intimée considère que la recourante présentait un état préexistant au niveau du rachis cervical et que la hernie discale C5-C6 n’est pas d’origine post-traumatique. Il s’agit d’une aggravation transitoire de l’état antérieur. De plus, les circonstances de l’accident ne sont pas claires. La recourante conteste ce point de vue, alléguant qu’elle ne présentait pas d’état antérieur à l’accident et notamment aucune fracture des cervicales. Elle conteste également l’aspect banal de l’événement, relevant que suite à la violence du choc subi, elle a dû être transportée à l’hôpital par les pompiers, dans une coquille matelassée</w:t>
      </w:r>
    </w:p>
    <w:p>
      <w:r>
        <w:rPr>
          <w:b/>
        </w:rPr>
        <w:t>E. 8</w:t>
      </w:r>
    </w:p>
    <w:p>
      <w:r>
        <w:t>La chambre de céans relève qu’il n’est pas contesté que la recourante a subi un accident en date du 2 août 2013 et qu’une hernie discale C5-C6 a été diagnostiquée. Est litigieuse en revanche la question de savoir si la recourante présentait un état antérieur ou non et, le cas échéant, en cas d’aggravation d’un état antérieur, si à la date du 2 décembre 2013 le statu quo sine était atteint.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(RAMA 2000 no U 378 p. 190 consid. 3, no U 379 p. 192 consid. 2a).</w:t>
      </w:r>
    </w:p>
    <w:p>
      <w:r>
        <w:t>A/1865/2014 - 11/13 -</w:t>
      </w:r>
    </w:p>
    <w:p>
      <w:r>
        <w:rPr>
          <w:b/>
        </w:rPr>
        <w:t>E. 9</w:t>
      </w:r>
    </w:p>
    <w:p>
      <w:r>
        <w:t>a) En l’occurrence, selon les documents médicaux figurant au dossier, le diagnostic d’hernie discale C5-C6 a été posé suite à l’accident par les médecins de l’Hôpital de Die et de Valence, après radiographies et CT-scan. Ce diagnostic a été corroboré par les examens radiologiques et l’IRM pratiquée à Genève le 11 octobre 2013. S’agissant de l’état antérieur, les médecins de l’Hôpital de Die ont fait état d’une fracture cervicale basse en 1992, suite à un accident de circulation. Or, la recourante nie avoir présenté une telle fracture et force est de constater qu’aucun document médical n’atteste la présence d’une ancienne fracture cervicale. D’autre part, les neurochirurgiens des HUG ont indiqué que la suspicion d’une fracture du rachis cervical suite à l’accident a été infirmée par le CT-scan (cf. rapport des Drs C______ et D______ du 2 septembre 2013). Par conséquent, à défaut de document médical pertinent, un antécédent de fracture cervicale n’est pas établi. Le Dr H______ considère que la recourante présentait déjà une hernie discale C5- C6 avant l’accident, l’IRM du 16 décembre 2008 montrant de légères dessiccations. Selon le médecin-conseil, les radios effectuées immédiatement à l’accident mettaient déjà en évidence une hernie discale C5-C6 ; il semble conclure de ce fait qu’il s’agit de lésions dégénératives et qu’en l’absence de lésion osseuse ou ligamentaire, il convient d’admettre que le disque était préalablement lésé. L’on peine toutefois à comprendre son argumentation. En effet, hormis de légères dessiccations au niveau des espaces inter-somatiques cervicaux, sans protrusion discale, les données de l’IRM du 16 décembre 2008 étaient sans anomalie notable (cf. rapport d’IRM cervicale, pièce no. 1 intimée). Selon la Dresse E______, il n’y avait pas à ce moment-là d’hernie discale. Le médecin traitant a précisé avoir demandé cet examen pour sa patiente en raison de céphalées postérieures suite à l’accouchement en septembre 2008. La recourante n’avait cependant jamais présenté d’épisode de cervicalgies ni NCB avant l’accident. La chambre de céans relève qu’à teneur du rapport de l’IRM cervicale de décembre 2008, on ne peut retenir le diagnostic d’hernie cervicale. Par ailleurs, aucun autre médecin ne fait état d’une hernie discale antérieure à l’accident et une telle affection n’est attestée par aucun document médical. La chambre de céans constate en revanche que les radios et le CT-Scan effectués immédiatement après l’accident du 2 août 2013 ont mis en évidence une protrusion discale paramédiane droite en C5-C6, sans lésion osseuse traumatique. L’IRM du</w:t>
      </w:r>
    </w:p>
    <w:p>
      <w:r>
        <w:rPr>
          <w:b/>
        </w:rPr>
        <w:t>E. 11</w:t>
      </w:r>
    </w:p>
    <w:p>
      <w:r>
        <w:t>Bien-fondé, le recours est admis.</w:t>
      </w:r>
    </w:p>
    <w:p>
      <w:r>
        <w:rPr>
          <w:b/>
        </w:rPr>
        <w:t>E. 12</w:t>
      </w:r>
    </w:p>
    <w:p>
      <w:r>
        <w:t>La procédure est gratuite (art. 61 let. a LPGA).</w:t>
      </w:r>
    </w:p>
    <w:p>
      <w:r>
        <w:t>A/1865/2014 - 13/13 -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