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ATAS/159/2023 vom 14. März 2023</w:t>
      </w:r>
    </w:p>
    <w:p>
      <w:r>
        <w:t>GE Cour de justice, 2023-03-14, FR</w:t>
      </w:r>
    </w:p>
    <w:p>
      <w:r>
        <w:rPr>
          <w:b/>
        </w:rPr>
        <w:t xml:space="preserve">Quelle: </w:t>
      </w:r>
      <w:r>
        <w:t>https://mcp.opencaselaw.ch/entscheid/ge_gerichte_ATAS_159_2023</w:t>
      </w:r>
    </w:p>
    <w:p>
      <w:r>
        <w:t>FR: GE_GERICHTE ATAS/159/2023 du 14 mars 2023</w:t>
      </w:r>
    </w:p>
    <w:p>
      <w:r>
        <w:t>IT: GE_GERICHTE ATAS/159/2023 del 14 marzo 2023</w:t>
      </w:r>
    </w:p>
    <w:p>
      <w:pPr>
        <w:pStyle w:val="Heading2"/>
      </w:pPr>
      <w:r>
        <w:t>Erwägungen</w:t>
      </w:r>
    </w:p>
    <w:p>
      <w:r>
        <w:rPr>
          <w:b/>
        </w:rPr>
        <w:t>E. 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2</w:t>
      </w:r>
    </w:p>
    <w:p>
      <w:r>
        <w:t>S'agissant des prestations dues par l'assurance-invalidité, le Tribunal fédéral a revu et modifié en profondeur, dans l’ATF 141 V 281,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w:t>
      </w:r>
    </w:p>
    <w:p>
      <w:r>
        <w:t>A/114/2021 - 5/10 - introduit un nouveau schéma d'évaluation au moyen d'un catalogue d'indicateurs (ATF 141 V 281 consid. 4). Pour l'évaluation de la capacité de travail en cas de troubles psychiques, d'un syndrome douloureux somatoforme et d'affections psychosomatiques comparables, il y a lieu de se fonder sur une grille d’analyse comportant divers indicateurs qui rassemblent les éléments essentiels propres aux troubles de nature psychosomatique (ATF 141 V 281 consid. 4). Il s'agit des indicateurs suivants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3.1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3.2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w:t>
      </w:r>
    </w:p>
    <w:p>
      <w:r>
        <w:t>A/114/2021 - 6/10 -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3.3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w:t>
      </w:r>
    </w:p>
    <w:p>
      <w:r>
        <w:rPr>
          <w:b/>
        </w:rPr>
        <w:t>E. 6</w:t>
      </w:r>
    </w:p>
    <w:p>
      <w:r>
        <w:t>Quel est le degré de gravité des diagnostics ?</w:t>
      </w:r>
    </w:p>
    <w:p>
      <w:r>
        <w:rPr>
          <w:b/>
        </w:rPr>
        <w:t>E. 7</w:t>
      </w:r>
    </w:p>
    <w:p>
      <w:r>
        <w:t>Y a-t-il une exagération des symptômes ou une constellation semblable ?</w:t>
      </w:r>
    </w:p>
    <w:p>
      <w:r>
        <w:rPr>
          <w:b/>
        </w:rPr>
        <w:t>E. 8</w:t>
      </w:r>
    </w:p>
    <w:p>
      <w:r>
        <w:t>L'expertisé semble-t-il minimiser et nier ses difficultés, ainsi que présenter une auto-évaluation fortement déficitaire ?</w:t>
      </w:r>
    </w:p>
    <w:p>
      <w:r>
        <w:rPr>
          <w:b/>
        </w:rPr>
        <w:t>E. 9</w:t>
      </w:r>
    </w:p>
    <w:p>
      <w:r>
        <w:t>Quelles sont les limitations fonctionnelles liées aux diagnostics sur le plan psychiatrique ?</w:t>
      </w:r>
    </w:p>
    <w:p>
      <w:r>
        <w:rPr>
          <w:b/>
        </w:rPr>
        <w:t>E. 10</w:t>
      </w:r>
    </w:p>
    <w:p>
      <w:r>
        <w:t>Les limitations sont-elles uniformes dans tous les domaines (professionnel et privé) ?</w:t>
      </w:r>
    </w:p>
    <w:p>
      <w:r>
        <w:t>A/114/2021 - 10/10 -</w:t>
      </w:r>
    </w:p>
    <w:p>
      <w:r>
        <w:rPr>
          <w:b/>
        </w:rPr>
        <w:t>E. 11</w:t>
      </w:r>
    </w:p>
    <w:p>
      <w:r>
        <w:t>L'expertisé est-il capable de gérer son quotidien ? Dans l'affirmative, pourquoi estimez-vous que c'est le cas, alors même qu'une curatelle a été instituée ?</w:t>
      </w:r>
    </w:p>
    <w:p>
      <w:r>
        <w:rPr>
          <w:b/>
        </w:rPr>
        <w:t>E. 12</w:t>
      </w:r>
    </w:p>
    <w:p>
      <w:r>
        <w:t>Le tableau clinique est-il cohérent, compte tenu des diagnostics retenus ?</w:t>
      </w:r>
    </w:p>
    <w:p>
      <w:r>
        <w:rPr>
          <w:b/>
        </w:rPr>
        <w:t>E. 13</w:t>
      </w:r>
    </w:p>
    <w:p>
      <w:r>
        <w:t>Le traitement est-il adéquat au niveau psychiatrique ? Dans la négative, cela est-il lié au déni de l'atteinte psychiatrique ou à d'autres facteurs psychiatriques ?</w:t>
      </w:r>
    </w:p>
    <w:p>
      <w:r>
        <w:rPr>
          <w:b/>
        </w:rPr>
        <w:t>E. 14</w:t>
      </w:r>
    </w:p>
    <w:p>
      <w:r>
        <w:t>Quelle est la compliance ?</w:t>
      </w:r>
    </w:p>
    <w:p>
      <w:r>
        <w:rPr>
          <w:b/>
        </w:rPr>
        <w:t>E. 15</w:t>
      </w:r>
    </w:p>
    <w:p>
      <w:r>
        <w:t>Quel est son environnement social ?</w:t>
      </w:r>
    </w:p>
    <w:p>
      <w:r>
        <w:rPr>
          <w:b/>
        </w:rPr>
        <w:t>E. 16</w:t>
      </w:r>
    </w:p>
    <w:p>
      <w:r>
        <w:t>Quelle est la capacité de travail dans l'activité habituelle ou une activité adaptée ? Le rendement est-il diminué ?</w:t>
      </w:r>
    </w:p>
    <w:p>
      <w:r>
        <w:rPr>
          <w:b/>
        </w:rPr>
        <w:t>E. 17</w:t>
      </w:r>
    </w:p>
    <w:p>
      <w:r>
        <w:t>Partagez-vous les conclusions de l'expertise du 21 septembre 2020 de la Dresse E______ ? Dans la négative, pourquoi vous en écartez-vous ?</w:t>
      </w:r>
    </w:p>
    <w:p>
      <w:r>
        <w:rPr>
          <w:b/>
        </w:rPr>
        <w:t>E. 18</w:t>
      </w:r>
    </w:p>
    <w:p>
      <w:r>
        <w:t>Partagez-vous l'analyse psychiatrique du Dr D______ dans son courrier du 23 novembre 2020 ? Dans la négative, pourquoi vous en écartez- vous ?</w:t>
      </w:r>
    </w:p>
    <w:p>
      <w:r>
        <w:rPr>
          <w:b/>
        </w:rPr>
        <w:t>E. 19</w:t>
      </w:r>
    </w:p>
    <w:p>
      <w:r>
        <w:t>Quel est votre pronostic ? F. Invite l’expert à déposer, dans un délai de trois mois, son rapport en trois exemplaires auprès de la chambre de céans. G. Réserve le fond.</w:t>
      </w:r>
    </w:p>
    <w:p>
      <w:r>
        <w:t>La greffière</w:t>
      </w:r>
    </w:p>
    <w:p>
      <w:r>
        <w:t>Nathalie LOCHER</w:t>
      </w:r>
    </w:p>
    <w:p>
      <w:r>
        <w:t>La présidente suppléante</w:t>
      </w:r>
    </w:p>
    <w:p>
      <w:r>
        <w:t>Maya CRAMER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