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ATAS/159/2022 vom 24. Februar 2022</w:t>
      </w:r>
    </w:p>
    <w:p>
      <w:r>
        <w:t>GE Cour de justice, 2022-02-24, FR</w:t>
      </w:r>
    </w:p>
    <w:p>
      <w:r>
        <w:rPr>
          <w:b/>
        </w:rPr>
        <w:t xml:space="preserve">Quelle: </w:t>
      </w:r>
      <w:r>
        <w:t>https://mcp.opencaselaw.ch/entscheid/ge_gerichte_ATAS_159_2022</w:t>
      </w:r>
    </w:p>
    <w:p>
      <w:r>
        <w:t>FR: GE_GERICHTE ATAS/159/2022 du 24 février 2022</w:t>
      </w:r>
    </w:p>
    <w:p>
      <w:r>
        <w:t>IT: GE_GERICHTE ATAS/159/2022 del 24 febbraio 2022</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La décision querellée étant postérieure à cette date, les dispositions de la LPGA qui s’appliquent à la présente espèce seront citées dans leur teneur actuelle.</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du 4 mars 2021 refusant toute prestation invalidité à l’assurée, singulièrement sur la condition de la durée de l’incapacité de travail.</w:t>
      </w:r>
    </w:p>
    <w:p>
      <w:r>
        <w:t>A/862/2021 - 6/9 -</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w:t>
      </w:r>
    </w:p>
    <w:p>
      <w:r>
        <w:t>A/862/2021 - 7/9 - de l'atteinte à la santé (cf. art. 10 de la loi fédérale sur l'assurance-accidents du 20 mars 1981 -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13</w:t>
      </w:r>
    </w:p>
    <w:p>
      <w:r>
        <w:t>En l’espèce, il est établi que la recourante a repris son activité habituelle auprès de l’employeur B______, depuis le 6 juillet 2020. La recourante n’a pas contesté la motivation de la décision querellée, selon laquelle la condition de durée de l’incapacité de travail de 40 % en moyenne, durant une année sans interruption notable, à teneur de l’art. 28 al. 1 let b LAI n’était pas remplie. Elle s’est contentée de rappeler les troubles de la santé dont elle souffrait, mentionnant les avis de ses médecins traitants, sans joindre de pièces permettant de les objectiver et concluant qu’elle n’était plus en état de travailler. À teneur du dossier, la chambre de céans considère comme établie la période d’incapacité de travail totale et partielle mentionnée dans la décision, soit du</w:t>
      </w:r>
    </w:p>
    <w:p>
      <w:r>
        <w:t>A/862/2021 - 8/9 -</w:t>
      </w:r>
    </w:p>
    <w:p>
      <w:r>
        <w:rPr>
          <w:b/>
        </w:rPr>
        <w:t>E. 17</w:t>
      </w:r>
    </w:p>
    <w:p>
      <w:r>
        <w:t>mars au 7 juin 2020 à 100 % et du 8 juin au 5 juillet 2020 à 50 %, lesdites périodes étant notamment confirmées par l’employeur B______. Il s’avère que les troubles de la santé de la recourante sont fluctuants, ce qui implique qu’il en est de même de son incapacité de travail, qui ne semble pas avoir de caractère durable. Cet état de fait est, dans une certaine mesure, confirmé par les courriers adressés par le Dr D______, respectivement au Dr E______ en date du 5 mars 2020, mentionnant un état de fatigue important et que ce moment d’épuisement contribuait à une augmentation de ses crises comitiales bien connues, et à la Dresse F______, en date du 6 avril 2020, mentionnant l’évolution comitiale lentement favorable. Il en résulte que la condition de la durée de l’incapacité de travail d’une année – sans même qu’il soit nécessaire de vérifier si le pourcentage de ladite incapacité est au moins égal à 40 % - n’est pas remplie. Dès lors, il n’est pas nécessaire d’aborder la question du calcul du taux d’incapacité de travail. Au vu de ce qui précède, la chambre de céans n’a d’autre choix que de rejeter le recours. 14. Étant donné que, depuis le 1er juillet 2006, la procédure n'est plus gratuite (art. 69 al. 1bis LAI), au vu du sort du recours, il y a lieu de condamner la recourante au paiement d'un émolument de CHF 200.-.</w:t>
      </w:r>
    </w:p>
    <w:p>
      <w:r>
        <w:t>A/862/2021 - 9/9 -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