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ATAS/159/2015 vom 2. März 2015</w:t>
      </w:r>
    </w:p>
    <w:p>
      <w:r>
        <w:t>GE Cour de justice, 2015-03-02, FR</w:t>
      </w:r>
    </w:p>
    <w:p>
      <w:r>
        <w:rPr>
          <w:b/>
        </w:rPr>
        <w:t xml:space="preserve">Quelle: </w:t>
      </w:r>
      <w:r>
        <w:t>https://mcp.opencaselaw.ch/entscheid/ge_gerichte_ATAS_159_2015</w:t>
      </w:r>
    </w:p>
    <w:p>
      <w:r>
        <w:t>FR: GE_GERICHTE ATAS/159/2015 du 2 mars 2015</w:t>
      </w:r>
    </w:p>
    <w:p>
      <w:r>
        <w:t>IT: GE_GERICHTE ATAS/159/2015 del 2 marzo 2015</w:t>
      </w:r>
    </w:p>
    <w:p>
      <w:pPr>
        <w:pStyle w:val="Heading2"/>
      </w:pPr>
      <w:r>
        <w:t>Erwägungen</w:t>
      </w:r>
    </w:p>
    <w:p>
      <w:r>
        <w:rPr>
          <w:b/>
        </w:rPr>
        <w:t>E. 16</w:t>
      </w:r>
    </w:p>
    <w:p>
      <w:r>
        <w:t>La chambre de céans a communiqué à la recourante copie de la détermination de l'intimé, en lui octroyant un délai pour venir consulter les pièces du dossier et faire part à la juridiction de céans de ses observations éventuelles en y joignant toutes pièces utiles. La recourante ne s'est pas manifestée.</w:t>
      </w:r>
    </w:p>
    <w:p>
      <w:r>
        <w:rPr>
          <w:b/>
        </w:rPr>
        <w:t>E. 17</w:t>
      </w:r>
    </w:p>
    <w:p>
      <w:r>
        <w:t>Par communication du 16 septembre 2014, la chambre de céans a informé les parties que la cause était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A/2092/2014 - 8/17 -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w:t>
      </w:r>
    </w:p>
    <w:p>
      <w:r>
        <w:rPr>
          <w:b/>
        </w:rPr>
        <w:t>E. 22</w:t>
      </w:r>
    </w:p>
    <w:p>
      <w:r>
        <w:t>juin 2005, FF 2005 p. 4322). 4. Dans le cadre d’un litige portant sur l’existence ou non d’une atteinte à la santé à caractère invalidant, il convient d’admettre que le médecin traitant de la recourante est un mandataire professionnellement qualifié au sens de l’art. 9 al. 1 LPA. Bien que le courrier de cette dernière, daté du 8 juillet 2014, s’écarte nettement du libellé usuel d’une procuration établie en vue d’une représentation judiciaire, ce serait faire preuve de formalisme excessif que d’exiger que l’acte de recours soit également signé par la recourante (cf. ATAS/758/2011). Pour le surplus, interjeté dans la forme et le délai prévus par la loi, le recours est recevable (art. 56ss LPGA). 5. Le litige porte sur le droit de la recourante à une rente d’invalidité et à des mesures d’ordre professionnel. 6.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w:t>
      </w:r>
    </w:p>
    <w:p>
      <w:r>
        <w:t>A/2092/2014 - 9/17 -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8. 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1er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w:t>
      </w:r>
    </w:p>
    <w:p>
      <w:r>
        <w:t>A/2092/2014 - 10/17 - d'invalidité à partir duquel des mesures de réadaptation doivent être octroyées à 20 % (ATF 130 V 488 consid. 4.2; ATF 124 V 108 consid. 3a). 9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w:t>
      </w:r>
    </w:p>
    <w:p>
      <w:r>
        <w:t>A/2092/2014 - 11/17 -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 est comparé au gain hypothétique qu'il pourrait obtenir sur un marché équilibré du travail en mettant pleinement à profit sa capacité résiduelle dans un emploi adapté à son handicap (ATF 125 V 146 consid. 5a). Sur ce dernier point, il y a lieu, en principe, en l’absence d’un revenu effectivement réalisé, de se référer aux données salariales telles qu’elles résultent des enquêtes sur la structure des salaires publiées par l’Office fédéral de la statistique (ATF 126 V 75 consid. 3b). Toutefois, il n’est pas nécessaire de procéder par ce biais lorsque l’assuré est en mesure, malgré son handicap, d’exercer – fût-ce avec une diminution de rendement – l’activité pratiquée antérieurement (arrêt du Tribunal fédéral 9C_599/2011 du 13 janvier 2012, consid. 4.1).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du Tribunal fédéral 9C_713/2007 du 8 août 2008 consid. 3.2).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w:t>
      </w:r>
    </w:p>
    <w:p>
      <w:r>
        <w:t>A/2092/2014 - 12/17 -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w:t>
      </w:r>
    </w:p>
    <w:p>
      <w:r>
        <w:t>A/2092/2014 - 13/17 - d'assurance. Le cas échéant, il peut en résulter une image déformée de l'état de santé réel de la personne assurée (arrêt du Tribunal fédéral des assurances I 257/04 du 17 mars 2005 consid. 5.4.4).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A/2092/2014 - 14/17 - médecins traitants font état d'éléments objectivement vérifiables ayant été ignorés dans le cadre de l'expertise et qui sont suffisamment pertinents pour remettre en cause les conclusions de l'expert (arrêt du Tribunal fédéral 9C_369/2008 du 5 mars 2009 consid. 2.2). 12. En l’espèce, l’intimé s’est fondé sur le rapport d’expertise rhumatologique du Dr F______ du 4 mars 2014 pour évaluer l’invalidité de la recourante dans la part relative à l’activité lucrative.</w:t>
      </w:r>
    </w:p>
    <w:p>
      <w:r>
        <w:t>Force est de constater que ce rapport se fonde sur une anamnèse détaillée, un examen clinique approfondi de la recourante et qu’il tient compte de ses plaintes. Le rapport a en outre été établi en pleine connaissance du dossier ; ses conclusions sont dûment motivées et ne laissent apparaître aucun contradiction.</w:t>
      </w:r>
    </w:p>
    <w:p>
      <w:r>
        <w:t>Selon l’expert, les troubles constatés n’empêchent ni la poursuite de l’activité habituelle de patrouilleuse scolaire à 50% (d’un plein temps, diminution de rendement incluse), laquelle est adaptée à ses limitations, ni l’exercice, au même taux (diminution de rendement incluse), d’une autre activité adaptée à ses limitations, c’est-à-dire, qui permette d’alterner les positions assise et debout, n’implique pas de devoir porter ou soulever des charges de plus de 10 kg, de travailler en position de porte-à-faux avec le buste, de marcher dans les escaliers et de réaliser des travaux avec les deux membres supérieurs au-dessus de l’horizontale ou nécessitant des mouvements de rotation de la nuque.</w:t>
      </w:r>
    </w:p>
    <w:p>
      <w:r>
        <w:t>Sans citer nommément le rapport d’expertise, le Dr B______ soutient que dans le contexte d’une maladie de type collagénose sévère, la recourante ne serait absolument plus en mesure d’exercer une quelconque activité et qu’elle devrait par conséquent bénéficier d’une rente d’invalidité entière. On relève cependant que la position du Dr B______ a fluctué au fil du temps, sans qu’il s’en explique : alors qu’il indiquait dans son rapport du 1er novembre 2012 qu’il n’avait pas délivré d’arrêt de travail (« Je ne fais pas d’arrêt de travail »), il a apparemment modifié son point de vue dans son rapport du 2 mars 2013 en faisant état d’une incapacité de travail complète, uniquement dans l’activité de patrouilleuse scolaire, malgré des diagnostics identiques (polyarthralgies et syndrome de Sjögren) et un état de santé qualifié de stationnaire depuis le rapport du 1er novembre 2012. Par ailleurs, il ne ressort pas non plus des explications fournies par le Dr B______ dans l’acte de recours que l’état de santé de la recourante se serait modifié entre la date de l’expertise et celle de la décision querellée. Ainsi, non contents de présenter des contradictions, les rapports successifs du Dr B______ ne font pas état d’éléments objectivement vérifiables qui auraient été ignorés par l’expert et qui seraient suffisamment pertinents pour remettre en cause les conclusions de ce dernier. Il apparaît au contraire que le Dr B______ se borne à apprécier de manière différente l’impact des troubles diagnostiqués par l’expert sur la capacité de travail exigible de l’intéressée. Ainsi, conformément à la jurisprudence précitée, il n’y a pas lieu de procéder à de plus amples investigations sur la base d’une telle divergence d’appréciation (arrêt du Tribunal fédéral 9C_369/2008 du 5 mars 2009 consid. 2.2),</w:t>
      </w:r>
    </w:p>
    <w:p>
      <w:r>
        <w:t>A/2092/2014 - 15/17 - non motivée de surcroît. Force est donc de constater que les rapports successifs du Dr B______ ne remettent pas en cause la valeur probante du rapport d’expertise du Dr F______. Il en va de même des autres rapports médicaux versés à la procédure, compte tenu de leur caractère incomplet. En conséquence, il convient de retenir sur la base de l’expertise du Dr F______ que la recourante est toujours en mesure d’exercer son activité de patrouilleuse scolaire, au moins au même taux que précédemment, et qu’il n’existe partant aucune invalidité dans la sphère professionnelle. 13. En l'espèce, l'OAI a retenu un statut mixte pour la recourante, l’enquêtrice qui a procédé à l'enquête ménagère ayant considéré que sans l’atteinte à la santé, l’assurée aurait conservé son activité de patrouilleuse scolaire à raison de 11 heures par semaine (27.5%) et consacré le reste du temps à ses activités ménagères (72.5%). Cette pondération des activités entre activité professionnelle et tâches ménagères n'est remise en cause par la recourante, ni dans son principe, ni dans sa quotité, de sorte que l'on retiendra le statut mixte de la recourante pour l'évaluation de l'invalidité. 14. Quand bien même la recourante ne conteste pas l’enquête ménagère, il y a lieu d’examiner celle-ci, étant donné que l’intéressée conclut à l’octroi d’une rente d’invalidité entière, ce qui implique une appréciation différente de ses empêchements dans le ménage.</w:t>
      </w:r>
    </w:p>
    <w:p>
      <w:r>
        <w:t>En l’espèce, l’enquête a été effectuée au domicile de la recourante. L’enquêtrice a visité l’appartement, tenu compte des indications de l’intéressée sur les tâches qu’elle accomplissait elle-même par le passé et qu’elle accomplit encore avec l’aide de son mari et de son fils depuis son atteinte à la santé. La chambre de céans relève à cet égard que la fixation d'une exigibilité globale de 29.1 % à la charge du mari et du fils dans la sphère ménagère (cf. rubrique "commentaires") paraît tout à fait admissible et se situe dans la norme des taux retenus pour des ménages comparables comprenant un conjoint et/ou un ou plusieurs enfants déjà grands (cf. ATAS 36/2015 du 20 janvier 2015 ; ATAS 255/2013 du 13 mars 2013; ATAS 131/2013 du 5 février 2013; ATAS 1273/2012 du 23 octobre 2012). Pour le surplus, le texte du rapport apparaît plausible, motivé et rédigé de manière suffisamment détaillée par rapport aux différentes limitations et indications relevées sur place. Ainsi, en l’absence d’indices laissant apparaître une inexactitude dans les résultats de l’enquête, ce rapport doit se voir reconnaître pleine valeur probante. En conséquence, la chambre de céans s’en tiendra à l’évaluation de l’enquêtrice, selon laquelle le degré d’invalidité dans la sphère ménagère est de 11 %. 15. Au taux d’invalidité de 0% pour la part relevant de l’activité lucrative (cf. consid. 12 supra), s’ajoute ainsi le taux d’invalidité pour la sphère ménagère ([15 x 73] ÷ 100) portant à 10,95 % (= 11 % après arrondissement) le taux d’invalidité global, ce qui demeure insuffisant pour ouvrir le droit à une rente.</w:t>
      </w:r>
    </w:p>
    <w:p>
      <w:r>
        <w:t>A/2092/2014 - 16/17 - 16. Un taux d’invalidité de 11% étant trop faible pour ouvrir droit à une rente, il reste à examiner si la recourante peut prétendre à une mesure d’ordre professionnel. En l’espèce, un tel droit doit être nié puisqu’il est établi, au degré de la vraisemblance prépondérante, que son handicap ne l’empêche pas, d’un point de vue médical, de poursuivre l’emploi qu’elle exerçait jusque-là, ce au même taux (27 %) voire à un taux supérieur (50 % ; art. 8 al. 1er let. a LAI). 17. Compte tenu de ce qui précède, le recours est rejeté. La procédure n’étant plus gratuite depuis le 1er juillet 2006 (art. 69 al. 1bis LAI), il y a lieu de condamner la recourante au paiement d’un émolument de CHF 200.-.</w:t>
      </w:r>
    </w:p>
    <w:p>
      <w:r>
        <w:t>A/2092/2014 - 17/17 -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