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ATAS/159/2014 vom 5. Februar 2014</w:t>
      </w:r>
    </w:p>
    <w:p>
      <w:r>
        <w:t>GE Cour de justice, 2014-02-05, FR</w:t>
      </w:r>
    </w:p>
    <w:p>
      <w:r>
        <w:rPr>
          <w:b/>
        </w:rPr>
        <w:t xml:space="preserve">Quelle: </w:t>
      </w:r>
      <w:r>
        <w:t>https://mcp.opencaselaw.ch/entscheid/ge_gerichte_ATAS_159_2014</w:t>
      </w:r>
    </w:p>
    <w:p>
      <w:r>
        <w:t>FR: GE_GERICHTE ATAS/159/2014 du 5 février 2014</w:t>
      </w:r>
    </w:p>
    <w:p>
      <w:r>
        <w:t>IT: GE_GERICHTE ATAS/159/2014 del 5 febbraio 2014</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à des prestations postérieures à l’entrée en vigueur de la LPGA. En conséquence, sur le plan matériel, cette dernière s’applique au présent litige. Quant aux règles de procédure, elles sont applicables, sauf dispositions transitoires contraires, à tous les cas en cours dès l'entrée en vigueur de la LPGA (ATF 131 V 314 consid. 3.3, 117 V 93 consid. 6b, 112 V 360 consid. 4a; RAMA 1998 KV 37 p. 316 consid. 3b).</w:t>
      </w:r>
    </w:p>
    <w:p>
      <w:r>
        <w:rPr>
          <w:b/>
        </w:rPr>
        <w:t>E. 3</w:t>
      </w:r>
    </w:p>
    <w:p>
      <w:r>
        <w:t>Interjeté dans les formes et le délai prescrits par la loi, le recours est recevable (art. 56 à 61 et 38 LPGA).</w:t>
      </w:r>
    </w:p>
    <w:p>
      <w:r>
        <w:rPr>
          <w:b/>
        </w:rPr>
        <w:t>E. 4</w:t>
      </w:r>
    </w:p>
    <w:p>
      <w:r>
        <w:t>Le litige porte sur le droit du recourant à l’indemnité de chômage, singulièrement sur la question de savoir s’il remplit la condition de la perte de travail à prendre en considération.</w:t>
      </w:r>
    </w:p>
    <w:p>
      <w:r>
        <w:t>A/2042/2013 - 9/13 -</w:t>
      </w:r>
    </w:p>
    <w:p>
      <w:r>
        <w:rPr>
          <w:b/>
        </w:rPr>
        <w:t>E. 5</w:t>
      </w:r>
    </w:p>
    <w:p>
      <w:r>
        <w:t>Un assuré a droit à l’indemnité de chômage si, entre autres conditions, il est sans emploi ou partiellement sans emploi (art. 8 al. 1 let. a LACI) ; est réputé sans emploi celui qui n’est pas partie à un rapport de travail et qui cherche à exercer une activité à plein temps (art. 10 al. 1 LACI), et partiellement sans emploi celui qui, notamment, occupe un emploi à temps partiel et cherche à le remplacer par une activité à plein temps ou à le compléter par une autre activité à temps partiel (art. 10 al. 2 let. b LACI). L’assuré doit également subir une perte de travail à prendre en considération (art. 8 al. 1 let. b LACI). Selon l’art. 11 LACI, il y a lieu de prendre en considération la perte de travail lorsqu’elle se traduit par un manque à gagner et dure au moins deux journées de travail consécutives (al. 1). À cet égard, l’art. 4 al. 1 de l’ordonnance sur l'assurance-chômage obligatoire et l'indemnité en cas d'insolvabilité, du 31 août 1983 (Ordonnance sur l’assurance-chômage, OACI ; RS 837.02) précise qu’est réputé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w:t>
      </w:r>
    </w:p>
    <w:p>
      <w:r>
        <w:rPr>
          <w:b/>
        </w:rPr>
        <w:t>E. 6</w:t>
      </w:r>
    </w:p>
    <w:p>
      <w:r>
        <w:t>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(cf. Bulletin LACI Indemnité Chômage de janvier 2014 [ci-après : Bulletin IC],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w:t>
      </w:r>
    </w:p>
    <w:p>
      <w:r>
        <w:t>A/2042/2013 - 10/13 - être calculé simplement sur la moyenne (ATF 107 V 61 consid. 1 et les références citées ; ATFA non publié du 20 janvier 2006, C 304/05, consid. 2.1). Selon le chiffre B97 du Bulletin IC,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 Ainsi, dans un arrêt G. du 12 mai 2006 (C 9/06, publié en partie au SVR 2006 AHV n°29 p. 99, voir aussi ATF non publié du 1er février 2007, C 8/06), le Tribunal fédéral des assurances (ci-après le TFA) a retenu que l’avis du SECO selon lequel il y a lieu de se fonder sur une période d’observation des douze derniers mois est inapplicable aux contrats de longue durée. Le TFA a confirmé que pour établir le temps de travail normal dans le cadre de contrats de durée assez longue, il y a lieu de se fonder sur le nombre d’heures de travail accomplies par année et d’examiner dans quelle mesure celui-ci s’écarte du nombre moyen des heures accomplies annuellement. Ainsi, dans la mesure où l’assuré travaillait sur appel depuis douze ans, rien ne s’opposait à ce que la période d’observation porte sur les cinq dernières années. Dans un autre arrêt du 20 janvier 2006 (C 304/05, consid. 2.3), le Tribunal fédéral des assurances a par ailleurs laissé ouverte la question de la légalité de la directive du SECO, en tant qu’elle fixe un plafond de 20%, respectivement de 10%, pour les fluctuations mensuelles permettant une indemnisation de la perte de gain.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(ATF non publié du 1er février 2007, C 8/06, consid. 4.3). Selon les chiffres B97a et B97b du Bulletin IC, aussi bien lors de l'ouverture d'un premier délai-cadre que d'un délai-cadre consécutif, il convient de déterminer</w:t>
      </w:r>
    </w:p>
    <w:p>
      <w:r>
        <w:t>A/2042/2013 - 11/13 - jusqu’à quand, lorsqu'il commence à durer, un rapport de travail sur appel qui avait été accepté initialement pour diminuer le dommage peut être pris en compte sans entraîner une négation du droit pour absence de perte de travail.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w:t>
      </w:r>
    </w:p>
    <w:p>
      <w:r>
        <w:rPr>
          <w:b/>
        </w:rPr>
        <w:t>E. 7</w:t>
      </w:r>
    </w:p>
    <w:p>
      <w:r>
        <w:t>En l’espèce, il n’est pas contesté, ni contestable, que l’activité exercée par le recourant pour le compte de X____________ est un travail sur appel. Il n’est pas contestable non plus que ce contrat de travail dure depuis plus de trois ans, soit dès octobre 2009. Au regard de la jurisprudence précitée, il convient donc de se fonder sur une période d’observation des douze derniers mois pour déterminer le temps de travail normal du recourant. En effet, une période d’un peu plus de trois ans n’est pas suffisante pour pouvoir appliquer la jurisprudence relative aux contrats sur appel de longue durée. Il ressorts des attestations de gain intermédiaire que d’octobre 2011 à septembre 2012, le recourant a perçu les revenus suivants pour son activité de remplaçant sur appel : Octobre 2011 - Novembre 2011 831 fr. 15 Décembre 2011 831 fr. 15 Janvier 2012 1'316 fr. 05 Février 2012 1'062 fr. 05 Mars 2012 1'454 fr. 50 Avril 2012 1'015 fr. 85 Mai 2012 1'223 fr. 75</w:t>
      </w:r>
    </w:p>
    <w:p>
      <w:r>
        <w:t>A/2042/2013 - 12/13 - Juin 2012 2'724 fr. 70 Juillet 2012 - Août 2012 - Septembre 2012 564 fr. 30 Total = 11'023 fr. 50 Il en résulte que pendant la période de contrôle, le recourant a réalisé un salaire mensuel moyen de 918 fr. 65 (11'023 fr. 50/ 12) en sa qualité d’enseignant remplaçant. Par rapport à ce salaire moyen, les variations mensuelles vont de moins 100% (en octobre 2011) à plus 296% en juin 2012. Ces taux de fluctuations sont importants et très largement supérieurs au taux de 20% évoqué précédemment. Il convient également de relever que quelle que soit la période de référence sélectionnée et qu’il soit tenu compte ou non des mois de juillet et août (période des grandes vacances d’été), les taux de fluctuations vont très régulièrement au-delà des 20% admis par la jurisprudence. Il s’ensuit que durant la période de contrôle, le recourant n’a pas été appelé suffisamment régulièrement pour qu’une perte de travail ou de gain puisse être prise en compte par l’intimée. En dernier lieu, il convient encore de préciser que le fait que le travail sur appel du recourant soit poursuivi par ce dernier pour diminuer son dommage est sans pertinence quant à l’issue du présent litige. En effet, de par l’écoulement du temps depuis la conclusion de son contrat de travail sur appel en août 2009, la situation professionnelle de ce dernier s’est inscrite dans la normalité, ce qui exclut tout droit à l’indemnité de chômage (cf. Bulletin IC, chiffre B97b). Compte tenu de ces éléments, c’est à juste titre que l’intimée a refusé au recourant le droit à des indemnités de chômage.</w:t>
      </w:r>
    </w:p>
    <w:p>
      <w:r>
        <w:rPr>
          <w:b/>
        </w:rPr>
        <w:t>E. 8</w:t>
      </w:r>
    </w:p>
    <w:p>
      <w:r>
        <w:t>Mal fondé, le recours doit être rejeté.</w:t>
      </w:r>
    </w:p>
    <w:p>
      <w:r>
        <w:rPr>
          <w:b/>
        </w:rPr>
        <w:t>E. 9</w:t>
      </w:r>
    </w:p>
    <w:p>
      <w:r>
        <w:t>La procédure est gratuite (art. 61 let. a LPGA et 89H al. 1 LPA).</w:t>
      </w:r>
    </w:p>
    <w:p>
      <w:r>
        <w:t>A/2042/2013 - 13/13 -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