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ATAS/1594/2009 vom 11. August 2009</w:t>
      </w:r>
    </w:p>
    <w:p>
      <w:r>
        <w:t>GE Cour de justice, 2009-08-11, FR</w:t>
      </w:r>
    </w:p>
    <w:p>
      <w:r>
        <w:rPr>
          <w:b/>
        </w:rPr>
        <w:t xml:space="preserve">Quelle: </w:t>
      </w:r>
      <w:r>
        <w:t>https://mcp.opencaselaw.ch/entscheid/ge_gerichte_ATAS_1594_2009</w:t>
      </w:r>
    </w:p>
    <w:p>
      <w:r>
        <w:t>FR: GE_GERICHTE ATAS/1594/2009 du 11 août 2009</w:t>
      </w:r>
    </w:p>
    <w:p>
      <w:r>
        <w:t>IT: GE_GERICHTE ATAS/1594/2009 del 11 agosto 2009</w:t>
      </w:r>
    </w:p>
    <w:p>
      <w:pPr>
        <w:pStyle w:val="Heading2"/>
      </w:pPr>
      <w:r>
        <w:t>Erwägungen</w:t>
      </w:r>
    </w:p>
    <w:p>
      <w:r>
        <w:rPr>
          <w:b/>
        </w:rPr>
        <w:t>E. 1</w:t>
      </w:r>
    </w:p>
    <w:p>
      <w:r>
        <w:t>Conformément à l’art. 56V al. 1er let. a ch. 5 de la loi genevoise du 22 novembre 1941 sur l’organisation judiciaire (LOJ ; E 2 05), le Tribunal cantonal des assurances sociales connaît en instance unique des contestations prévues à l’art. 56 de la loi fédérale du 6 octobre 2000 sur la partie générale du droit des assurances sociales (LPGA ; RS 830.1) qui sont relatives à la loi fédérale du 20 mars 1981 sur l’assurance-accident (LAA ; RS 832.20). Sa compétence pour juger du cas d’espèce est ainsi établie.</w:t>
      </w:r>
    </w:p>
    <w:p>
      <w:r>
        <w:rPr>
          <w:b/>
        </w:rPr>
        <w:t>E. 2</w:t>
      </w:r>
    </w:p>
    <w:p>
      <w:r>
        <w:t>La LPGA, entrée en vigueur le 1er janvier 2003, est applicable au cas d'espèce.</w:t>
      </w:r>
    </w:p>
    <w:p>
      <w:r>
        <w:t>A/3902/2009 - 3/5 -</w:t>
      </w:r>
    </w:p>
    <w:p>
      <w:r>
        <w:rPr>
          <w:b/>
        </w:rPr>
        <w:t>E. 3</w:t>
      </w:r>
    </w:p>
    <w:p>
      <w:r>
        <w:t>Le Tribunal de céans constate que le recours, interjeté en temps utile (art. 60 al. 1 LPGA) est recevable à la forme.</w:t>
      </w:r>
    </w:p>
    <w:p>
      <w:r>
        <w:rPr>
          <w:b/>
        </w:rPr>
        <w:t>E. 4</w:t>
      </w:r>
    </w:p>
    <w:p>
      <w:r>
        <w:t>A ce stade de la procédure, le litige porte exclusivement sur la question de savoir si c'est à juste titre que l'intimé a qualifié l'opposition formée par l'assurée de tardive et l'a déclarée irrecevable.</w:t>
      </w:r>
    </w:p>
    <w:p>
      <w:r>
        <w:rPr>
          <w:b/>
        </w:rPr>
        <w:t>E. 5</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A/3902/2009 - 4/5 -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6</w:t>
      </w:r>
    </w:p>
    <w:p>
      <w:r>
        <w:t>En l’espèce, il n'est pas contesté que le pli recommandé a été retiré par le mari de la recourante le 13 août 2009. Force est dès lors de constater que l’opposition formée le 18 septembre 2009 n’est pas intervenue dans le délai légal de 30 jours ; en effet, le délai de 30 jours a commencé à courir le 16 août 2009, compte tenu de la suspension des délais du 15 juillet au 15 août inclus, et est parvenu à échéance le 14 septembre 2009.</w:t>
      </w:r>
    </w:p>
    <w:p>
      <w:r>
        <w:rPr>
          <w:b/>
        </w:rPr>
        <w:t>E. 7</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 recourante a pris connaissance le 19 août de la décision retirée par son époux le 13 août et a constitué un mandataire pour la défense de ses intérêts avant de repartir à l’étranger. Le fait qu’elle ait omis d’informer son mandataire du retrait du pli recommandé par son époux ne constitue pas un motif pouvant justifier une restitution du délai. En l'absence de motif valable de restitution de délai, c'est dès lors à juste titre que l'intimé a qualifié l'opposition d'irrecevable pour cause de tardiveté. Le recours doit donc être rejeté.</w:t>
      </w:r>
    </w:p>
    <w:p>
      <w:r>
        <w:t>A/3902/2009 - 5/5 -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