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ATAS/1593/2009 vom 2. Dezember 2009</w:t>
      </w:r>
    </w:p>
    <w:p>
      <w:r>
        <w:t>GE Cour de justice, 2009-12-02, FR</w:t>
      </w:r>
    </w:p>
    <w:p>
      <w:r>
        <w:rPr>
          <w:b/>
        </w:rPr>
        <w:t xml:space="preserve">Quelle: </w:t>
      </w:r>
      <w:r>
        <w:t>https://mcp.opencaselaw.ch/entscheid/ge_gerichte_ATAS_1593_2009</w:t>
      </w:r>
    </w:p>
    <w:p>
      <w:r>
        <w:t>FR: GE_GERICHTE ATAS/1593/2009 du 2 décembre 2009</w:t>
      </w:r>
    </w:p>
    <w:p>
      <w:r>
        <w:t>IT: GE_GERICHTE ATAS/1593/2009 del 2 dicembre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24 novembre 2008, est postérieure à l'entrée en vigueur de la LPGA ainsi qu’à l'entrée en vigueur, le 1er janvier 2004, des modifications de la LAI du 21 mars 2003 (4ème révision) et à celle du 1er janvier 2008 relative aux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Interjeté dans la forme et délai prévus par la loi, le recours est recevable (art. 56 ss LPGA).</w:t>
      </w:r>
    </w:p>
    <w:p>
      <w:r>
        <w:rPr>
          <w:b/>
        </w:rPr>
        <w:t>E. 4</w:t>
      </w:r>
    </w:p>
    <w:p>
      <w:r>
        <w:t>Dans la décision entreprise, l’intimé a reconnu à la recourante le droit à un quart de rente d’octobre à décembre 2006, à trois-quart de rente de janvier à juin 2007, puis</w:t>
      </w:r>
    </w:p>
    <w:p>
      <w:r>
        <w:t>A/273/2009 - 12/23 - à une demi-rente dès juillet 2007. Dans son recours, la recourante conteste cette décision en tant qu’elle ne lui alloue aucune rente pour la période antérieure à octobre 2006 et en tant qu’elle ne lui octroie qu’un quart de rente d’octobre à décembre 2006. 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 ATF 125 V 413 consid. 2.2 et 2.3 confirmé dans l’ATF 131 V 164). Ainsi, même si la recourante ne conteste que la période antérieure à octobre 2006 et le degré d’invalidité pour octobre à décembre 2006, c’est en l’occurrence le droit à la rente qui forme l'objet du litige.</w:t>
      </w:r>
    </w:p>
    <w:p>
      <w:r>
        <w:rPr>
          <w:b/>
        </w:rPr>
        <w:t>E. 5</w:t>
      </w:r>
    </w:p>
    <w:p>
      <w:r>
        <w:t>Selon la jurisprudence, 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VSI 2001 p. 157 consid. 2), respectivement 17 LPGA.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w:t>
      </w:r>
    </w:p>
    <w:p>
      <w:r>
        <w:rPr>
          <w:b/>
        </w:rPr>
        <w:t>E. 5.3</w:t>
      </w:r>
    </w:p>
    <w:p>
      <w:r>
        <w:t>et consid. 6).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Est réputée invalidité, l'incapacité de gain totale ou partielle présumée permanente ou de longue durée, résultant d'une infirmité congénitale, d'une maladie ou d'un accident (art. 8 al. 1 LPGA et 4 al. 1 LAI).</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w:t>
      </w:r>
    </w:p>
    <w:p>
      <w:r>
        <w:t>A/273/2009 - 13/23 -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w:t>
      </w:r>
    </w:p>
    <w:p>
      <w:r>
        <w:t>A/273/2009 - 14/23 -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Lorsque, au stade de la procédure administrative, une expertise confiée à un médecin indépendant est établie par un spécialiste reconnu, sur la base d'observations approfondies et d'investigations complètes, ainsi qu'en pleine</w:t>
      </w:r>
    </w:p>
    <w:p>
      <w:r>
        <w:t>A/273/2009 - 15/23 - connaissance du dossier, et que l'expert aboutit à des résultats convaincants, le juge ne saurait les écarter aussi longtemps qu'aucun indice concret ne permet de douter de leur bien-fondé (ATF 125 V 351 consid. 3b/bb).</w:t>
      </w:r>
    </w:p>
    <w:p>
      <w:r>
        <w:rPr>
          <w:b/>
        </w:rPr>
        <w:t>E. 9</w:t>
      </w:r>
    </w:p>
    <w:p>
      <w:r>
        <w:t>a) En l’occurrence, la recourante a été soumise dans un premier temps à une expertise somatique mise en œuvre par l’intimé. Par rapport du 23 mars 2006, le Prof. E_________ et la Dresse P_________ ont diagnostiqué des lombalgies basses chroniques sur discopathie modérée L5-S1 présente depuis 2002, des rachialgies diffuses et une limitation de la mobilité de la nuque, sans explications ainsi que des douleurs péri-articulaires de l’épaule droite de type PSH. Ces experts ont considéré qu’en présence d’une discopathie, la recourante ne devrait pas exercer une activité professionnelle lourde, comme aide- ménagère ou aide-familiale, si le port de charges excède 15 kg. Par contre, dans une activité légère, sans port de charges de plus de 15 kg, la capacité de travail est entière, avec une réduction de rendement de 10%. Le Tribunal de céans constate que cette expertise remplit en tous points les réquisits jurisprudentiels pour que lui soit accordée une pleine valeur probante. En effet, elle repose sur deux examens de la recourante dont les plaintes ont été prises en considération, ainsi que sur son dossier médical et radiologique. Les développements sont clairs et les diagnostics posés également. De plus, il n’y a pas de contradiction entre les conclusions, les constatations cliniques et l’argumentation médicale. La recourante fait valoir que les conclusions du Dr M_________ concernant sa capacité résiduelle de travail de 50% doivent être suivies. Le Tribunal de céans relèvera que les diagnostics posés par le médecin traitant correspondent à ceux constatés par les experts. S’agissant de la capacité de travail dans une activité adaptée, le Dr M_________ a certes indiqué qu’elle était de 50%, tout en admettant qu’un examen complémentaire lui semblait nécessaire pour évaluer les répercussions de l’atteinte à la santé sur la capacité de travail de la recourante. De surcroît, s’agissant de la reprise d’une activité lucrative, il a expliqué que la recourante refusait toute reprise de travail en raison de ses douleurs (rapport du 1er décembre 2004). Compte tenu de ce qui précède, son appréciation, émise en outre à titre de médecin traitant, tout comme celle de la Dresse U_________, ne saurait écarter les conclusions convaincantes rendues par les experts. Le SMR a quant à lui considéré, dans ses avis des 18 et 22 mai 2006, que la capacité de travail résiduelle était entière, sans que l’on puisse comprendre pour quelle raison il n’a pas retenu la diminution de rendement de 10% constatée pourtant par les experts. Compte tenu de ce qui précède, au vu des conclusions convaincantes des experts, la recourante présente une capacité résiduelle de 90% dans une activité adaptée.</w:t>
      </w:r>
    </w:p>
    <w:p>
      <w:r>
        <w:t>A/273/2009 - 16/23 - b) En raison de l’apparition de troubles psychiques, l’intimé a ensuite soumis la recourante à une seconde expertise. Dans leur rapport du 26 juin 2008, les Drs C_________, spécialiste FMH en rhumatologie et médecine interne, et D_________, spécialiste FMH en psychiatrie-psychothérapie, ont diagnostiqué une personnalité émotionnellement labile type borderline (F60.31) présente depuis jeune adulte, un syndrome somatoforme persistant (F45.4), des dorsolombalgies chroniques sur une discopathie L5-S1, des troubles de la posture et une obésité. Sur le plan psychiatrique, dès mi-2006, la recourante avait présenté un état dépressif réactionnel. Lors de l’expertise, elle présentait une thymie légèrement dépressive, n’interférant pas sur la capacité de travail. La recourante présentait aussi une personnalité émotionnellement labile, type borderline, qui était mal compensée. Lorsque la personnalité était décompensée, la recourante présentait alors des épisodes dépressifs sévères. Enfin, les importantes douleurs survenaient dans un contexte de détresse psychique et de conflits émotionnels suffisamment importants, permettant de retenir un syndrome douloureux somatoforme persistant. Les médecins ont conclu que le trouble de la personnalité émotionnellement labile type borderline mal compensé et le syndrome douloureux somatoforme persistant interfèrent à 40% sur la capacité de travail en raison d’une diminution de la tolérance à la frustration, des conflits avec autrui en raison d’une réactivité caractérielle, une propension à l’agir, la difficulté à gérer les conflits émotionnels et un seuil douloureux abaissé. L’incapacité de travail, qui avait débuté en septembre 2006 était la suivante : totale du 22 septembre au 15 octobre 2006, 50% du 16 octobre à mars 2007, 40% d’avril à septembre 2007, totale de septembre à octobre 2007, puis à 40%. Le Tribunal de céans constate que le rapport des experts se base tant sur des entretiens psychologiques avec la recourante que sur son dossier assécurologique. L'anamnèse est complète dès lors qu'elle se compose d'un volet familial, personnel et socio-professionnel. Les plaintes sont également prises en considération. La description et l'appréciation de la situation médicale sont claires. Les experts se sont exprimés sur l'évolution de l'état de santé, sur la capacité de travail et sur les limitations fonctionnelles, enfin, ils ont dûment expliqué et motivé leur point de vue. Leurs conclusions sont cohérentes et convaincantes. Le SMR, par avis du 14 juillet 2008, s’est rallié également aux conclusions des experts quant aux répercussions des troubles psychiques sur la capacité de travail de la recourante. Le Tribunal de céans relèvera qu’il n’y a, au demeurant, pas de raison de s’en écarter, dans la mesure où la recourante présente, outre un trouble somatoforme douloureux, un trouble de la personnalité émotionnellement labile type borderline mal compensé, lequel constitue indiscutablement une comorbidité psychiatrique suffisamment importante au sens de la jurisprudence citée au considérant 7 supra, puisqu’il interfère sur la capacité de travail de la recourante.</w:t>
      </w:r>
    </w:p>
    <w:p>
      <w:r>
        <w:t>A/273/2009 - 17/23 - Par ailleurs, il ne ressort pas des rapports versés à la procédure d’éléments concrets susceptibles de remettre en cause les conclusions des experts quant aux troubles psychiques, de sorte qu’il y a lieu de constater que le rapport remplit toutes les conditions jurisprudentielles permettant de lui reconnaître une pleine force probante à cet égard. S’agissant des troubles somatiques, le Tribunal de céans constate que les experts ont considéré que la capacité de travail dans une activité adaptée est totale, sans diminution de rendement. Cela étant, rien ne permet de retenir que l’état de santé de la recourante se serait amélioré sur le plan physique depuis l’expertise effectuée par le Prof. E_________ et la Dresse P_________, lesquels avaient constaté une diminution de rendement de 10%. Quoi qu’il en soit, on ne saurait considérer que la très brève appréciation émise par les Drs C_________ et D_________ quant à la capacité de travail de la recourante sur le plan physique est valable de manière rétroactive dès septembre 2003. Ces médecins ne le prétendent au demeurant pas. Par conséquent, au regard des deux expertises sus-mentionnées, il y a lieu de retenir que la recourante présente, en raison de troubles physiques, une capacité de travail dans une activité adaptée de 90% dès septembre 2003. Par la suite, l’état de santé de la recourante s’est péjoré en raison de troubles psychiques, de sorte que sa capacité de travail, dans toute activité, a été nulle du 22 septembre au 15 octobre 2006, de 50% du 16 octobre à mars 2007, de 60% d’avril au 9 septembre 2007, nulle du 10 septembre au 20 octobre 2007, puis à nouveau de 60%.</w:t>
      </w:r>
    </w:p>
    <w:p>
      <w:r>
        <w:rPr>
          <w:b/>
        </w:rPr>
        <w:t>E. 10</w:t>
      </w:r>
    </w:p>
    <w:p>
      <w:r>
        <w:t>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w:t>
      </w:r>
    </w:p>
    <w:p>
      <w:r>
        <w:t>A/273/2009 - 18/23 -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S'il exerce une activité lucrative après la survenance de l'invalidité et que - cumulativement - les rapports de travail sont particulièrement stables, qu'il y a lieu d'admettre qu'il utilise sa capacité de travail résiduelle dans la mesure qu'on est en droit d'exiger de lui et que le revenu versé en contrepartie de son travail est approprié et ne représente pas un salaire social, le gain effectivement réalisé est en principe considéré comme le salaire d'invalide (ATF 129 V 475 consid. 4.2.1; 126 V 76 consid. 3b/aa et les arrêts cités). Si l'assuré ne réalise aucun revenu réel parce qu'il n'a plus repris d'activité depuis son invalidité ou du moins n'exerce pas l'activité que l'on pourrait raisonnablement exiger de lui, le revenu d'invalide peut être évalué sur la base des données statistiques ressortant de l'Enquête suisse sur la structure des salaires (ATF 126 V 76 consid. 3b/aa, 117 V 18). On se réfère alors à la statistique des salaires bruts standardisés, en se fondant toujours sur la médiane ou valeur centrale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La déduction de 25 %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w:t>
      </w:r>
    </w:p>
    <w:p>
      <w:r>
        <w:t>A/273/2009 - 19/23 -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Enfin,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150 consid. 2c, 117 V 194 consid. 3b et les références).</w:t>
      </w:r>
    </w:p>
    <w:p>
      <w:r>
        <w:rPr>
          <w:b/>
        </w:rPr>
        <w:t>E. 11</w:t>
      </w:r>
    </w:p>
    <w:p>
      <w:r>
        <w:t>A titre préalable, le Tribunal de céans relèvera que c’est à juste titre que l’intimé a considéré que le statut de la recourante correspond à celui d’actif à temps complet. En effet, celle-ci a expliqué que sans atteinte à la santé, elle aurait travaillé à plein temps, ce en raison de sa situation financière difficile. En outre, avant son atteinte à la santé, la recourante travaillait à 80% car son employeur n’avait pas pu répondre favorablement à sa demande d’augmentation du taux d’occupation (courrier de la FSASD du 24 juillet 2009).</w:t>
      </w:r>
    </w:p>
    <w:p>
      <w:r>
        <w:t>A/273/2009 - 20/23 - Il convient de se placer en 2003 puisque le début de l'incapacité de travail de la recourante, dans son activité d’aide à domicile, remonte au 10 septembre 2002 et son annonce à l'intimé au 25 août 2003(art. 29 al. 1 let. b LAI). a) Selon les renseignements fournis par l'employeur en date du 24 juillet 2009, la recourante aurait pu réaliser en 2003, sans atteinte à la santé, un revenu annuel de 66’831 fr. 15 à plein temps. Ce revenu n'est pas contesté par les parties. b) S'agissant du revenu d'invalide, dans la mesure où la recourante n’exerce pas d’activité lucrative, il y a lieu par conséquent de se référer aux statistiques salariales. Compte tenu de l'activité de substitution raisonnablement exigible de la part de la recourante dans un emploi adapté à son état de santé, - pas de port de charges de plus de 15 kilos, pas de position du tronc tenu en porte-à-faux et sans flexion- rotation répétée du tronc - le salaire de référence est celui auquel peuvent prétendre les femmes effectuant des activités simples et répétitives dans le secteur privé (RAMA 2001 n° U 439 p. 347), à savoir 3'820 fr. par mois (tous secteurs confondus) - valeur en 2002 - part au 13ème salaire comprise (ESS 2002, tableau TA1, niveau de qualification 4), soit 45’840 fr. par année. Ce salaire hypothétique représente, compte tenu du fait que les salaires bruts standardisés se basent sur un horaire de travail de quarante heures, soit une durée hebdomadaire inférieure à la moyenne usuelle dans les entreprises en 2002 (41.7 heures; La Vie économique, 1/2 -2006, tableau B9.2), et comme le revenu statistique doit être adapté à l’augmentation des salaires nominaux pour les femmes en 2003 (+ 1.7% ; Evolution des salaires 2005, tableau T1.39), ce montant doit être porté à 48'600 fr. 60 (45’840 + 1.7% = 46'619 fr. 28 x 41.7 : 40). A ce montant, il convient, conformément à la jurisprudence, d'appliquer un facteur de réduction. A cet égard, le Tribunal de céans constate que l'intimé a fait abstraction de tout abattement dans le cadre de la décision litigieuse, ce sans en expliquer la raison. Or, si la jurisprudence impose que la déduction opérée par l'administration soit brièvement motivée (art. 29 al. 2 Cst; ATF 126 V 75 consid. 5b/dd p. 80), tel devrait être également le cas, a fortiori, lorsqu'aucune réduction n'est opérée. Il convient dès lors d'examiner, dans le cas concret, quel taux de réduction doit être appliqué. S'agissant de la situation personnelle et professionnelle de la recourante, le Tribunal de céans constate qu’elle est de nationalité suisse et était âgée de 34 ans au moment de la décision litigieuse. Par ailleurs, elle était employée de longue date au sein de la FSASD et ne peut exercer une activité légère et adaptée qu'à temps partiel. Ainsi, les critères de limitations liés au taux d'occupation, aux années de service et à l’activité légère seule possible sont remplis, de sorte qu'une déduction de 10% au</w:t>
      </w:r>
    </w:p>
    <w:p>
      <w:r>
        <w:t>A/273/2009 - 21/23 - plus, apparaît justifiée. Compte tenu d'un tel abattement, le revenu annuel d'invalide évalué sur la base des statistiques salariales est ainsi de 43'740 fr. 55 à plein temps (valeur 2003), de 39'366 fr. 50 à 90%, de 26'244 fr. 33 à 60% et de 21'870 fr. 27 à 50%. Les comparaisons des revenus avec et sans invalidité aboutissent aux degrés d’invalidité suivants : - 41% en cas de capacité de travail de 90% ((66'831 fr. 15 - 39'366 fr. 50) x 100 : 66'831 fr. 15), - 60,73% en cas de capacité de travail à 60% ((66’831fr. 15 - 26'244 fr. 33) x 100 : 66'831 fr. 15) et, - 67, 27% en cas de capacité de travail à 50% ((66'831 fr. 15 - 21'870 fr. 27) x 100 : 66'831 fr. 15). Il en résulte que le degré d’invalidité de 41% donne lieu à un quart de rente. Quant aux degrés d’invalidité de 67% et de 61%, ils donnent lieu tous deux à trois-quart de rente dès lors que les capacités de travail correspondantes - 60% et 50% - sont survenues à compter de 2006 (art. 28 al. 1 LAI dans sa teneur en vigueur dès le 1er janvier 2004). Reste encore à déterminer les dates auxquelles les rentes doivent être octroyées. En cas de décision simultanée sur l'octroi d'une rente et son remplacement par une autre rente ou même sa suppression, le changement est régi par l'art. 88a du règlement du 17 janvier 1961 sur l'assurance-invalidité (RAI, RS 831.301) lequel prévoit que,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revanche, si l'incapacité de gain ou l'impotence d'un assuré s'aggrave, il y a lieu de considérer que ce changement accroît, le cas échéant, son droit aux prestations dès qu'il a duré trois mois sans interruption notable. En l’occurrence, il y a lieu de prendre en considération que la recourante avait une capacité de travail résiduelle de 90% de septembre 2003 au 21 septembre 2006, nulle du 22 septembre au 15 octobre 2006, de 50% du 16 octobre 2006 à mars 2007, de 60% d’avril au 9 septembre 2007, nulle du 10 septembre au 20 octobre 2007, puis à nouveau de 60%.</w:t>
      </w:r>
    </w:p>
    <w:p>
      <w:r>
        <w:t>A/273/2009 - 22/23 - Il s’ensuit que la recourante a droit à un quart de rente dès septembre 2003 (l’incapacité de travail ayant débuté le 10 septembre 2002, art. 29 al. 1 let b. LAI) et à trois-quart de rente dès janvier 2007 (soit trois mois après l’aggravation de la capacité de gain ; art. 88a al. 2 RAI). Compte tenu de ce qui précède, c’est à tort que l’intimé a octroyé à la recourante un quart de rente d’octobre à décembre 2006, trois quart de rente de janvier à juin 2007 et une demi-rente dès juillet 2007.</w:t>
      </w:r>
    </w:p>
    <w:p>
      <w:r>
        <w:rPr>
          <w:b/>
        </w:rPr>
        <w:t>E. 12</w:t>
      </w:r>
    </w:p>
    <w:p>
      <w:r>
        <w:t>Au bénéfice des explications qui précèdent, le Tribunal de céans admettra le recours en ce sens que la recourante a droit à un quart de rente dès septembre 2003 et à trois-quart de rente à partir du 1er janvier 2007.</w:t>
      </w:r>
    </w:p>
    <w:p>
      <w:r>
        <w:t>L'intimé, qui succombe, supportera les frais de justice, fixés à 1’000 fr. (art. 69 al. 1 bis LAI).</w:t>
      </w:r>
    </w:p>
    <w:p>
      <w:r>
        <w:t>A/273/2009 - 23/23 -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