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ATAS/158/2019 vom 26. Februar 2019</w:t>
      </w:r>
    </w:p>
    <w:p>
      <w:r>
        <w:t>GE Cour de justice, 2019-02-26, FR</w:t>
      </w:r>
    </w:p>
    <w:p>
      <w:r>
        <w:rPr>
          <w:b/>
        </w:rPr>
        <w:t xml:space="preserve">Quelle: </w:t>
      </w:r>
      <w:r>
        <w:t>https://mcp.opencaselaw.ch/entscheid/ge_gerichte_ATAS_158_2019</w:t>
      </w:r>
    </w:p>
    <w:p>
      <w:r>
        <w:t>FR: GE_GERICHTE ATAS/158/2019 du 26 février 2019</w:t>
      </w:r>
    </w:p>
    <w:p>
      <w:r>
        <w:t>IT: GE_GERICHTE ATAS/158/2019 del 26 febbraio 2019</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Il court dès le lendemain de la notification de la décision (art. 62 al. 3 LPA et dans le même sens art. 38 al. 1 LPGA). Interjeté dans la forme et le délai prévus par la loi, le recours est recevable (art. 56 ss LPGA et 62 ss LPA).</w:t>
      </w:r>
    </w:p>
    <w:p>
      <w:r>
        <w:rPr>
          <w:b/>
        </w:rPr>
        <w:t>E. 4</w:t>
      </w:r>
    </w:p>
    <w:p>
      <w:r>
        <w:t>Sont litigieux le droit du recourant à des mesures supplémentaires de reclassement et son degré d’invalidité, en particulier l’importance de ses limitations fonctionnelles.</w:t>
      </w:r>
    </w:p>
    <w:p>
      <w:r>
        <w:t>A/1804/2018 - 12/27 -</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6</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w:t>
      </w:r>
    </w:p>
    <w:p>
      <w:r>
        <w:t>A/1804/2018 - 13/27 - arguments, sans alléguer une modification des faits déterminants (ATF 130 V 64 consid. 5.2.3 ; ATF 125 V 412 consid. 2b et ATF 117 V 198 consid. 4b ainsi que les références).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 arrêt du Tribunal fédéral 9C_316/2011 du 20 février 2012 consid. 3.2). c. Lorsque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du Tribunal fédéral 9C_142/2012 du 9 juillet 2012 consid. 4). Si elle constate que les circonstances prévalant lors de la dernière décision entrée en force et reposant sur un examen matériel du droit à la rente (cf. ATF 133 V 108)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et 109 V 114 consid. 2a et b ; arrêt du Tribunal fédéral 9C_721/2014 du 16 juin 2015 consid. 3.1).</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A/1804/2018 - 14/27 -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w:t>
      </w:r>
    </w:p>
    <w:p>
      <w:r>
        <w:t>A/1804/2018 - 15/27 -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 ATF 9C_833/2007 du 4 juillet 2008, in Plädoyer 2009/1 p. 70 ; arrêt du Tribunal fédéral des assurances I 35/03 du 24 octobre 2003 consid. 4.3 et les références, in Plädoyer 2004/3 p. 64 ; arrêt du Tribunal fédéral 9C_512/2013 du 16 janvier 2014 consid. 5.2.1).</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A/1804/2018 - 16/27 -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l’intimé est entré en matière sur la nouvelle demande de prestations du recourant et a pris en charge un reclassement professionnel de gestionnaire de stock au regard du degré d’invalidité de 23 %. Au terme du stage pratique effectué en entreprise pendant quatre mois à 100 % et pendant deux mois à 50 %, l’intimé a considéré que le recourant avait acquis les connaissances et l’expérience nécessaires pour lui permettre de mettre en œuvre sa capacité de travail de 100 % dans une activité adaptée à ses limitations fonctionnelles. Dans un premier moyen, le recourant conteste les limitations fonctionnelles retenues par le SMR, notamment la limite de port de charges fixée à 15 kg dès lors que son médecin traitant retient un port de charges limité de 3 à 5 kg. À titre préalable, il convient de relever qu’il n’y a pas de divergence significative entre le Dr D______ et le SMR quant aux diagnostics posés ayant une incidence sur la capacité de travail du recourant, à savoir des lombalgies sur dégénérescence L3- L4 et L4-L5, ainsi qu’une coxarthrose bilatérale asymptomatique. Il n’y a pas davantage de divergence quant à l’appréciation de la capacité de travail du recourant qui est nulle dans l’activité de coordinateur depuis le 12 mars 2015 et de 100 % dans une activité adaptée aux limitations fonctionnelles dès le 1er janvier 2016. Quant aux limitations fonctionnelles, il y a également pour l’essentiel une concordance entre celles mentionnées par le médecin traitant et le SMR, sauf s’agissant de la limitation du port de charges. Dans son avis du 15 septembre 2016, le SMR fixe les limitations fonctionnelles, notamment la limitation du port de charges à 15 kg, en se référant aux divers rapports au dossier des spécialistes en charge du recourant et plus précisément au rapport du Dr D______ d’avril 2016. Or, à l’exception de l’expertise de la Clinique CORELA qui n’a pas de valeur probante (cf. arrêt du Tribunal fédéral 8F_8/2018 du 7 janvier 2019 consid. 2.3.3), le seul médecin qui se détermine sur les limitations fonctionnelles depuis la nouvelle demande du 11 août 2015 est le Dr D______. Ce dernier retient un port de charges limité à 2 ou 3 kg dans son rapport du 26 novembre 2015 et mentionne de petites charges dans son rapport du 25 avril 2016. Le SMR n’explique pas son évaluation de la limite de port de charges à 15 kg autrement que par un renvoi au rapport du Dr D______ d’avril 2016. Or, ledit rapport ne précise aucune limite de charges et se borne à mentionner de petites charges. Par conséquent, il convient d’examiner si cette limite ressort des autres rapports établis dans le cadre de la première demande. Lors de la première demande, qui concernait une incapacité de travail survenue à la suite d’une lésion tendineuse de l’épaule droite, le Dr D______ avait retenu une limitation fonctionnelle concernant notamment tout port de charges avec le bras</w:t>
      </w:r>
    </w:p>
    <w:p>
      <w:r>
        <w:t>A/1804/2018 - 17/27 - droit dans son rapport du 26 juin 2012, alors que le Dr C______ avait fixé une limite de port de charges à 10 kg dans son rapport du 21 mars 2012 et à 3 kg dans son rapport du 6 février 2013 bien qu’il notait une amélioration de l’état de santé du recourant. Pour sa part, dans son rapport du 7 novembre 2012, le Dr E______ avait estimé la limite de port de charges à environ 15 kg. Dès lors, les spécialistes de l’appareil locomoteur avaient apprécié cette limite entre</w:t>
      </w:r>
    </w:p>
    <w:p>
      <w:r>
        <w:rPr>
          <w:b/>
        </w:rPr>
        <w:t>E. 10</w:t>
      </w:r>
    </w:p>
    <w:p>
      <w:r>
        <w:t>et 15 kg, abstraction faite de l’évaluation du Dr C______ du 6 février 2013 qui apparaît incohérente car il est difficilement explicable qu’après une amélioration de l’état de santé, la limite de port de charges passe de 10 kg à 3 kg. La limite de charges de 2 à 3 kg telle qu’elle ressort du rapport du Dr D______ du 26 novembre 2015 n’est pas motivée et n’est pas plausible puisque, dans le cadre de la première demande, il avait conclu à l’absence totale de charges avec le bras droit, alors que les spécialistes de l’appareil locomoteur appréciaient la limite de port de charges de 10 à 15 kg environ. Étant donné que la première demande était motivée par une lésion tendineuse de l’épaule droite qui permettait néanmoins au recourant de porter des charges jusqu’à environ 15 kg et que dans le cadre de la nouvelle demande, le recourant souffre essentiellement de lombalgies non déficitaires sur dégénérescence L3-L4 et L4-L5, la limitation de poids retenue lors de la première demande vaut également dans ce cadre, dès lors que l’épargne des membres supérieurs ne peut pas être moindre en cas de troubles lombaires non déficitaires. Par conséquent, les conclusions du SMR quant à une limite de port de charges de</w:t>
      </w:r>
    </w:p>
    <w:p>
      <w:r>
        <w:rPr>
          <w:b/>
        </w:rPr>
        <w:t>E. 15</w:t>
      </w:r>
    </w:p>
    <w:p>
      <w:r>
        <w:t>Dans la décision litigieuse, l’intimé a comparé en 2017 le revenu sans invalidité de CHF 74'244.- avec un revenu d’invalide de CHF 66'179.- établi sur la base de l’ESS 2014 TA1_tirage_skill_level (ligne 49-53, niveau 2). Il a appliqué un abattement de 10 % sur le revenu d’invalide pour tenir compte des limitations fonctionnelles et a fixé le degré d’invalidité à 11 %. Le recourant conteste ce calcul au motif que le revenu d’invalide est irréaliste, que l’intimé a retenu à tort un niveau de compétence 2 et qu’il a appliqué un abattement inférieur de 5 % à son précédent calcul. En l’espèce, dans le cadre de sa nouvelle demande du 11 août 2015, l’incapacité de travail durable du recourant remonte au 12 mars 2015, de sorte que le droit éventuel à la rente date du 1er mars 2016 (cf. art. 28 al. 1 let. b LAI). Toutefois, postérieurement à cette date, le recourant a bénéficié d’une mesure de reclassement jusqu’au 30 novembre 2017, puis d’une indemnité journalière pour la recherche d’un emploi jusqu’au 29 janvier 2018. Par conséquent, il y a lieu de calculer le degré d’invalidité en 2018 (art. 29 al. 2 LAI). Toutefois, faute de chiffres</w:t>
      </w:r>
    </w:p>
    <w:p>
      <w:r>
        <w:t>A/1804/2018 - 25/27 - statistiques disponibles sur l’évolution des salaires nominaux en 2018, ce calcul ne peut se faire que pour l’année 2017. Le revenu sans invalidité de CHF 74'244.- en 2016 n’est pas contesté. Par conséquent, il y a lieu de l’adapter à l’évolution des salaires nominaux de 2016 à 2017. Selon le tableau T39 de l’office fédéral de la statistique, l’indice des salaires nominaux pour les hommes a passé de 2239 à 2249. Par conséquent, le revenu sans invalidité en 2017 du recourant est de CHF 74'576.- (74'244 : 2239 x 2249). Quant au revenu d’invalide, le salaire que le recourant pourrait obtenir après l’achèvement d’un reclassement en tant que gestionnaire de stock doit être déterminé selon le tableau TA1_skill_level de l’ESS 2016 (lignes 49-53 correspondant aux activités de transport et entreposage, niveau de compétence 2, pour homme). En effet, le niveau de compétence 1 ne vise que les tâches physiques ou manuelles simples, alors que l’activité de gestionnaire de stock inclut d’autres tâches, notamment l’utilisation d’un logiciel de gestion de la production assistée par ordinateur. Selon la note de bas de page dudit tableau, le niveau de compétence 2 vise les tâches pratiques telles que la vente, les soins, le traitement de données et les tâches administratives, l’utilisation de machines et d’appareils électroniques, les services de sécurité, la conduite de véhicules. C’est le lieu de préciser que c’est justement en raison de l’activité du recourant de coordinateur, confinée à des tâches manuelles simples (petite mécanique, montage de roues, coordination du travail, entretien des véhicules), que l’intimé a pris en considération un niveau de compétence 1 dans le calcul du degré d’invalidité du 23 mai 2017 effectué avant que le recourant n’achève son reclassement et qui tenait compte du salaire pour un homme, tous secteurs confondus. Selon ledit tableau, le revenu mensuel d’un homme travaillant dans le domaine du transport et de l’entreposage en 2016 avec un niveau de compétence 2 est de CHF 5'710.-, soit CHF 68'826.- (5'710 x 12 = 68'520 : 2239 x 2249) par an en 2017. Il correspond à un horaire de travail de 40 heures, de sorte qu’il doit être porté à CHF 71'751.- (68'826 x 41,7 : 40) pour tenir compte d’un horaire hebdomadaire en 2017 de 41,7 heures par semaine. S’agissant de l’abattement, dans son calcul du 23 mai 2017, l’OAI a appliqué un abattement de 15 % pour tenir compte des limitations fonctionnelles et du nombre d’années de service auprès du même employeur, alors que dans la décision entreprise, il opère un abattement de 10 % qui ne prend plus en considération le nombre d’années de service. Le critère des années de service a pour but de tenir compte du fait qu’une personne qui débute dans une entreprise ne réalise en général pas un salaire moyen (Ulrich MEYER / Marc REICHMUTH, Rechtsprechung des Bundesgerichts zum IVG, 3ème éd. 2014, n. 108 ad art. 28a). À titre d’exemple, le Tribunal fédéral a retenu que ce facteur justifiait une déduction de 5 % dans le cas d’une assurée âgée de 46 ans au regard de la durée restante du parcours professionnel de l'assurée</w:t>
      </w:r>
    </w:p>
    <w:p>
      <w:r>
        <w:t>A/1804/2018 - 26/27 - jusqu'à l'âge de la retraite, qui lui permettra d'acquérir au fil du temps une certaine expérience dans le nouveau domaine d'activités adaptées (arrêt du Tribunal fédéral 9C_160/2014 du 30 juin 2014 consid. 5.3). En l’occurrence, le fait que le recourant dispose de connaissances récentes dans le domaine de la gestion de stock ne change rien au fait que le salaire qu’il pourrait obtenir dans ce domaine tiendra compte de son absence d’ancienneté et sera ainsi inférieur à la moyenne. Ainsi que la chambre de céans a déjà eu l’occasion de le préciser dans un arrêt du 31 octobre 2017 (ATAS/974/2017), il apparaît contradictoire d’admettre l’incidence de ce critère dans le calcul du 23 mai 2017 et de l’écarter dans la décision litigieuse. Par conséquent, en tenant compte de toutes les circonstances professionnelles et personnelles, il y a lieu d’appliquer un abattement global de 15 % sur le revenu d’invalide, de sorte que ce dernier s’élève à CHF 60'988.- (71'751 x 85 %). En comparant le revenu d’invalide avec celui sans invalidité de CHF 74'576.-, le degré d’invalidité est de 18 % (74'576 - 60'988 = 13'588 : 74'576 x 100), qui est inférieur au degré minimum d’invalidité donnant droit à un quart de rente (art. 28 al. 2 LAI).</w:t>
      </w:r>
    </w:p>
    <w:p>
      <w:r>
        <w:rPr>
          <w:b/>
        </w:rPr>
        <w:t>E. 16</w:t>
      </w:r>
    </w:p>
    <w:p>
      <w:r>
        <w:t>Il se justifie, en conséquence, de rejeter le recours. Étant donné que depuis le 1er juillet 2006, la procédure n'est plus gratuite (art. 69 al. 1bis LAI), au vu du sort du recours, il y a lieu de condamner le recourant au paiement d'un émolument de CHF 200.-. Vu l’issue donnée au recours, il n’y a pas lieu d’allouer une indemnité de procédure (art. 61 let. g LPGA). * * * * * *</w:t>
      </w:r>
    </w:p>
    <w:p>
      <w:r>
        <w:t>A/1804/2018 - 27/27 -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