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ATAS/158/2010 vom 17. Februar 2010</w:t>
      </w:r>
    </w:p>
    <w:p>
      <w:r>
        <w:t>GE Cour de justice, 2010-02-17, FR</w:t>
      </w:r>
    </w:p>
    <w:p>
      <w:r>
        <w:rPr>
          <w:b/>
        </w:rPr>
        <w:t xml:space="preserve">Quelle: </w:t>
      </w:r>
      <w:r>
        <w:t>https://mcp.opencaselaw.ch/entscheid/ge_gerichte_ATAS_158_2010</w:t>
      </w:r>
    </w:p>
    <w:p>
      <w:r>
        <w:t>FR: GE_GERICHTE ATAS/158/2010 du 17 février 2010</w:t>
      </w:r>
    </w:p>
    <w:p>
      <w:r>
        <w:t>IT: GE_GERICHTE ATAS/158/2010 del 17 febbraio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la recourante présente un degré d'invalidité lui ouvrant le droit à une rente supérieure à un quart de rente.</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A/719/2009 - 9/11 -</w:t>
      </w:r>
    </w:p>
    <w:p>
      <w:r>
        <w:rPr>
          <w:b/>
        </w:rPr>
        <w:t>E. 5</w:t>
      </w:r>
    </w:p>
    <w:p>
      <w:r>
        <w:t>a) Selon l'art. 28 al. 2 LAI, l'assuré a droit à une rente s'il est invalide à 40 % au moins. La rente est échelonnée comme suit, selon le taux d'invalidité : 40 % au moins un quart, 50 % au moins une demie, 60 % au moins trois-quarts, 70 % au moins rente entière. b) Aux termes de l'art. 29 al. 1 aLAI, en vigueur jusqu'au 31 décembre 2007 et applicable en l'espèce,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7</w:t>
      </w:r>
    </w:p>
    <w:p>
      <w:r>
        <w:t>En l'espèce, le Dr A_________ a indiqué, dans son rapport du 25 juin 2007, que sa patiente pourrait exercer une activité en position assise. Dans celui du 31 juillet</w:t>
      </w:r>
    </w:p>
    <w:p>
      <w:r>
        <w:t>A/719/2009 - 10/11 - 2007, il a précisé que la conservation de la position assise était non limitée. Il n'a pas contredit ses rapports par celui du 29 avril 2008, dès lors que la limitation de la capacité de travail, dont il fait état dans ce dernier rapport, ne concerne que l'activité de vendeuse. La Dresse B_________ a également retenu, dans son rapport du 10 août 2007, que sa patiente pourrait tenir la position assise huit heures par jour. Par ailleurs, il y a lieu de constater que l'intervention en raison des varices du 16 septembre 2009 n'a pas engendré une incapacité de travail durable. Enfin, les médecins sont unanimes de considérer que l'activité de vendeuse que la recourante exerce à 25 % n'est pas adaptée. Au vu de ce qui précède, le Tribunal de céans ne peut que retenir que sa capacité de travail dans une position assise est complète.</w:t>
      </w:r>
    </w:p>
    <w:p>
      <w:r>
        <w:rPr>
          <w:b/>
        </w:rPr>
        <w:t>E. 8</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En l'espèce, la recourante n'a pas mis en cause le calcul de la perte de gain, opéré par l'intimé, suite au changement de profession nécessaire. Partant, il convient d'admettre une perte de gain de 41 %. Un tel degré n'ouvre pas le droit à une rente supérieure à un quart.</w:t>
      </w:r>
    </w:p>
    <w:p>
      <w:r>
        <w:rPr>
          <w:b/>
        </w:rPr>
        <w:t>E. 9</w:t>
      </w:r>
    </w:p>
    <w:p>
      <w:r>
        <w:t>Quant aux mesures d'orientation professionnelle, la recourante y a renoncé.</w:t>
      </w:r>
    </w:p>
    <w:p>
      <w:r>
        <w:rPr>
          <w:b/>
        </w:rPr>
        <w:t>E. 10</w:t>
      </w:r>
    </w:p>
    <w:p>
      <w:r>
        <w:t>Cela étant, le recours sera rejeté.</w:t>
      </w:r>
    </w:p>
    <w:p>
      <w:r>
        <w:rPr>
          <w:b/>
        </w:rPr>
        <w:t>E. 11</w:t>
      </w:r>
    </w:p>
    <w:p>
      <w:r>
        <w:t>L'émolument de justice, fixé au montant minimal de 200 fr., est mis à la charge de la recourante qui succombe, en application de l'art. 69 al. 1 bis LAI.</w:t>
      </w:r>
    </w:p>
    <w:p>
      <w:r>
        <w:t>A/719/2009 - 11/11 -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