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ATAS/1585/2009 vom 2. April 2009</w:t>
      </w:r>
    </w:p>
    <w:p>
      <w:r>
        <w:t>GE Cour de justice, 2009-04-02, FR</w:t>
      </w:r>
    </w:p>
    <w:p>
      <w:r>
        <w:rPr>
          <w:b/>
        </w:rPr>
        <w:t xml:space="preserve">Quelle: </w:t>
      </w:r>
      <w:r>
        <w:t>https://mcp.opencaselaw.ch/entscheid/ge_gerichte_ATAS_1585_2009</w:t>
      </w:r>
    </w:p>
    <w:p>
      <w:r>
        <w:t>FR: GE_GERICHTE ATAS/1585/2009 du 2 avril 2009</w:t>
      </w:r>
    </w:p>
    <w:p>
      <w:r>
        <w:t>IT: GE_GERICHTE ATAS/1585/2009 del 2 aprile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17 juin 2005, d’autre part le 20 mai 2009, date à laquelle le jugement de divorce est devenu exécutoire.</w:t>
      </w:r>
    </w:p>
    <w:p>
      <w:r>
        <w:rPr>
          <w:b/>
        </w:rPr>
        <w:t>E. 4</w:t>
      </w:r>
    </w:p>
    <w:p>
      <w:r>
        <w:t>Le mandataire de la demanderesse a attiré l'attention du Tribunal de céans sur le fait que le demandeur avait expressément renoncé au partage de leurs avoirs LPP. Le TPI a néanmoins ordonné le partage par moitié, dans son jugement du 2 avril 2009 entré en force. Le Tribunal de céans ne saurait modifier la clé de répartition fixée par le juge du TPI. Il ne peut que l'exécuter.</w:t>
      </w:r>
    </w:p>
    <w:p>
      <w:r>
        <w:t>A/1956/2009 4/5</w:t>
      </w:r>
    </w:p>
    <w:p>
      <w:r>
        <w:rPr>
          <w:b/>
        </w:rPr>
        <w:t>E. 5</w:t>
      </w:r>
    </w:p>
    <w:p>
      <w:r>
        <w:t>Selon les documents produits, la prestation acquise pendant le mariage par le demandeur est de 101'471 fr. 33 (104'684 fr. 44 - 3'213 fr. 11) tandis que celle acquise par la demanderesse est de 62'105 fr. 55 (124'109 fr. 65 - 62'004 fr. 10), les intérêts ayant déjà été calculés par les institutions de prévoyance défenderesses. Ainsi le demandeur doit à son ex-épouse le montant de 50'735 fr. 65 (101'471 fr. 33 : 2) et celle-ci doit à celui-là le montant de 31'052 fr. 75 (62'105 fr. 55 : 2), de sorte que c’est le demandeur qui doit à son ex-épouse le montant de 19'682 fr. 90.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A/1956/2009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