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ATAS/1582/2009 vom 1. Dezember 2009</w:t>
      </w:r>
    </w:p>
    <w:p>
      <w:r>
        <w:t>GE Cour de justice, 2009-12-01, FR</w:t>
      </w:r>
    </w:p>
    <w:p>
      <w:r>
        <w:rPr>
          <w:b/>
        </w:rPr>
        <w:t xml:space="preserve">Quelle: </w:t>
      </w:r>
      <w:r>
        <w:t>https://mcp.opencaselaw.ch/entscheid/ge_gerichte_ATAS_1582_2009</w:t>
      </w:r>
    </w:p>
    <w:p>
      <w:r>
        <w:t>FR: GE_GERICHTE ATAS/1582/2009 du 1 décembre 2009</w:t>
      </w:r>
    </w:p>
    <w:p>
      <w:r>
        <w:t>IT: GE_GERICHTE ATAS/1582/2009 del 1 dicembre 2009</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Le recours a été interjeté en temps utile (art. 56 ss LPGA).</w:t>
      </w:r>
    </w:p>
    <w:p>
      <w:r>
        <w:rPr>
          <w:b/>
        </w:rPr>
        <w:t>E. 4</w:t>
      </w:r>
    </w:p>
    <w:p>
      <w:r>
        <w:t>Le litige porte sur le statut de Madame S__________ - indépendant ou salarié - dans l'activité qu'elle a exercée pour la société d'octobre 2004 à juin 2005.</w:t>
      </w:r>
    </w:p>
    <w:p>
      <w:r>
        <w:rPr>
          <w:b/>
        </w:rPr>
        <w:t>E. 5</w:t>
      </w:r>
    </w:p>
    <w:p>
      <w:r>
        <w:t>Aux termes de l'art. 12 LAVS, 1 Est considéré comme employeur quiconque verse à des personnes obligatoirement assurées une rémunération au sens de l’art. 5, al. 2. 2 Sont tenus de payer des cotisations tous les employeurs ayant un établissement stable en Suisse ou occupant dans leur ménage des personnes obligatoirement assurées. 3 Est réservée l’exemption de l’obligation de payer des cotisations, en vertu d’une convention internationale ou de l’usage établi par le droit des gens. Est réputé salarié celui qui fournit un travail dépendant et qui reçoit pour ce travail un salaire déterminant au sens des lois spéciales (art. 10 LPGA).</w:t>
      </w:r>
    </w:p>
    <w:p>
      <w:r>
        <w:t>A/4925/2007 - 9/15 - En vertu de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Le revenu provenant d'une activité indépendante comprend quand à lui tout revenu du travail autre que la rémunération pour un travail accompli dans une situation dépendante (art. 9 al. 1 LAVS).</w:t>
      </w:r>
    </w:p>
    <w:p>
      <w:r>
        <w:rPr>
          <w:b/>
        </w:rPr>
        <w:t>E. 6</w:t>
      </w:r>
    </w:p>
    <w:p>
      <w:r>
        <w:t>Une personne exerçant une activité lucrative indépendante peut simultanément avoir la qualité de salarié si elle reçoit un salaire correspondant (art. 12 LPGA).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w:t>
      </w:r>
    </w:p>
    <w:p>
      <w:r>
        <w:rPr>
          <w:b/>
        </w:rPr>
        <w:t>E. 7</w:t>
      </w:r>
    </w:p>
    <w:p>
      <w:r>
        <w:t>On admet généralement l'existence d'une activité salariée lorsqu'une personne dépend d'un employeur du point de vue économique et dans l'organisation du travail et qu'elle ne supporte pas le risque spécifique à l'entreprise (VSI 2001 p. 252 consid. 2a; VSI 1998 p. 235 consid. 4a; VSI 1997 p. 106s. consid. 2a). On se trouve en présence d'une activité dépendante lorsqu'elle présente les traits typiques du contrat de travail, à savoir lorsque l'intéressé doit offrir ses services pour une certaine durée, qu'il doit se tenir à disposition de l'entreprise - se trouvant alors dans l'incapacité de fait d'exercer quelque autre activité lucrative - et qu'il est lié aux instructions de l'entreprise (par exemple : il n'est pas libre de refuser les mandats, il est soumis à une clause de non - concurrence [RCC 1992 174s. consid. 4b]) qui décide également, pour la plus grande part, de la durée et de l'organisation du travail. De tels éléments parlent en effet en faveur d'un rapport de subordination (VSI 1997 p. 107 consid. 2b; Rehbinder, Schweizerisches Arbeitsrecht, 12ème éd., p. 34ss; Vischer, Der Arbeitsvertrag, SPR VIII/1 p. 306 = Traité de droit privé suisse, vol. VII, tome I, 2, 1982 p. 34). L'observation d'un certain plan de travail, l'obligation de rendre compte de l'avancement des travaux ainsi que le recours à l'infrastructure du lieu de travail constituent autant d'indices d'une activité dépendante (RCC 1982 p. 176). Le risque économique couru par l'assuré tient alors à lui seul dans ce cas à la réussite personnelle ou, en cas d'activité exercée régulièrement, dans le fait de se retrouver, si le rapport de travail cesse, dans une situation semblable à celle d'un salarié qui perd son emploi (VSI 1997 p. 107 consid. 2b; ATF 119 V 163 consid. 3b = VSI</w:t>
      </w:r>
    </w:p>
    <w:p>
      <w:r>
        <w:t>A/4925/2007 - 10/15 - 1993 p. 226; ATF 112 V 169 = VSI 1996 p. 256).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1986 p. 651 consid. 4c,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78 consid. 4b). Le risque particulier de l'entrepreneur consiste dans les frais que l'intéressé est appelé à supporter indépendamment du succès qu'il peut remporter dans son travail (VSI 1997 p. 107 consid. 2b; RCC 1986 p. 347 consid. 2d; RCC 1986 p. 126 consid. 2b). Il découle du fait que, quel que soit le résultat de son activité, il doit supporter les coûts de son entreprise, en particulier les frais généraux, pertes, risque d'encaissement et de ducroire (VSI 1998 p. 235 consid. 4a; Greber / Duc / Scartazzini, Commentaire des articles 1 à 16 de la loi fédérale sur l'assurance- vieillesse et survivants, ad art. 5 LAVS, n°111). Ainsi, le risque d'entrepreneur au sens donné par cette expression dans l'assurance-vieillesse et survivants signifie avant tout que l'assuré est responsable des pertes résultant de l'insolvabilité des clients, de livraisons défectueuses ou de dispositions erronées (RCC 1986 consid. 4d p. 652). Le risque économique de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14 novembre 2002, H 188/02 consid. 5.2 ; VSI 1997 p. 107 consid. 2b; ATF 119 V 163 consid. 3b = VSI 1993 p. 226). A eux seuls toutefois, ces principes ne permettent pas de dégager des solutions uniformes qui soient applicables systématiquement. La diversité des situations qui caractérisent la vie économique oblige à apprécier le statut de cotisant d'une personne active en tenant compte de l'ensemble des circonstances du cas particulier. Comme il arrive souvent que l'on retrouve dans un cas d'espèce les caractéristiques des deux genres d'activité, il faut alors se demander quels éléments sont prédominants dans le cas considéré (VSI 2001 p. 252 consid. 2a ; VSI 1998 p. 235 consid. 4a; ATF 123 V 162s. consid. 1 = VSI 1998 p. 56 consid. 1 ; ATF 122 V 171 = VSI 1996 p. 256).</w:t>
      </w:r>
    </w:p>
    <w:p>
      <w:r>
        <w:t>A/4925/2007 - 11/15 - Seul un examen détaillé de l'ensemble des circonstances économiques concrètes du cas d'espèce permet de déterminer si l'on est en présence d'une activité dépendante ou indépendante. Cela étant,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(ATFA non publié du 14 février 2007, H 19/2006; Raphael LANZ, Die Abgrenzung der selbständigen von den unselbständigen Erwerbstätigkeit im Sozialversicherungs-, Steuer-und Zivilrecht, in: PJA 12/1997 p.1474 sv.; GREBER / DUC / SCARTAZZINI, Commentaire des art. 1 à 16 de la loi fédérale sur l'assurance- vieillesse et survivants [LAVS], Bâle 1997, n. 103 ad art. 5; Hanspeter KÄSER, Unterstellung und Beitragswesen in der obligatorischen AHV, Berne 1996, p. 120, n. 4.30). En outre, la possibilité pour le travailleur d'organiser son horaire de travail ne signifie pas nécessairement qu'il s'agit d'une activité indépendante (VSI 1996 p. 257 ss consid. 3c ; ATFA non publié du 10 janvier 2005, H 334/03 consid. 6.2.1).</w:t>
      </w:r>
    </w:p>
    <w:p>
      <w:r>
        <w:rPr>
          <w:b/>
        </w:rPr>
        <w:t>E. 8</w:t>
      </w:r>
    </w:p>
    <w:p>
      <w:r>
        <w:t>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sv. consid. 3.2 et 3.3). Aussi n'existe-t-il pas, en droit des assurances sociales, un principe selon lequel l'administration ou le juge devrait statuer, dans le doute, en faveur de l'assuré (ATF 126 V 322 consid. 5a).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Les parties doivent ainsi faire connaître tout fait ou moyen de preuve qui ne serait connu que d'elles seules (ATF 108 Ib 80 s. consid. 2a/aa; Rhinow/Koller/Kiss, Öffentliches Prozessrecht und Justizverfassungsrecht des Bundes, Bâle 1996, p. 217). Elles ne sont toutefois tenues de collaborer que dans la mesure où cela est raisonnablement</w:t>
      </w:r>
    </w:p>
    <w:p>
      <w:r>
        <w:t>A/4925/2007 - 12/15 - exigible (DTA 1992 no 9 p. 111). En particulier, on ne peut exiger des parties qu'elles fassent connaître des faits ou apportent des preuves auxquels elles n'ont pas accès, mais que l'autorité est à même de constater en faisant usage des moyens de contrainte publique dont elle dispose (consid. 1c non publié de l'arrêt ATF 120 Ia 265; arrêt non publié G. du 1er décembre 1997, 2P.217/1995).</w:t>
      </w:r>
    </w:p>
    <w:p>
      <w:r>
        <w:rPr>
          <w:b/>
        </w:rPr>
        <w:t>E. 9</w:t>
      </w:r>
    </w:p>
    <w:p>
      <w:r>
        <w:t>Selon l’art. 412 al. 1 CO, le courtage est un contrat par lequel le courtier est chargé, moyennant un salaire, soit d’indiquer à l’autre partie l’occasion de conclure une convention, soit de lui servir d’intermédiaire pour la négociation d’un contrat. L’agent quant à lui est celui qui prend à titre permanent l’engagement de négocier la conclusion d’affaires pour un ou plusieurs mandants ou d’en conclure en leur nom et pour leur compte, sans être lié envers eux par un contrat de travail (art. 418a CO). La différence entre les deux types de contrats réside dans le fait que le contrat de courtage n’implique pas, à la différence du contrat d’agence, une activité répétitive ou professionnelle (ATF 118 IV 403). De plus, s’agissant du contrat d’agence, le TFA estime que l’existence d’une activité indépendante ne peut être admise que si l’agent dirige une entreprise ayant ses propres locaux et son propre personnel et supporte ainsi un réel risque d’entrepreneur (RCC 1988 p. 398). Selon la jurisprudence, le courtage au sens de l’art. 412 s. CO est au contraire considéré en principe comme une activité indépendante, dans la mesure où le courtier supporte le risque encouru par un entrepreneur, dès lors que les frais ne lui sont pas remboursés et qu’il n’a droit à la rémunération convenue que si ses démarches ont abouti à la conclusion du contrat (RCC 1988 p. 314 s.).</w:t>
      </w:r>
    </w:p>
    <w:p>
      <w:r>
        <w:rPr>
          <w:b/>
        </w:rPr>
        <w:t>E. 10</w:t>
      </w:r>
    </w:p>
    <w:p>
      <w:r>
        <w:t>En l'espèce, la société estime qu'elle n'a pas à s'acquitter de cotisations paritaires AVS/AI sur la base des honoraires qu'elle a versés à Madame S__________ d'octobre 2004 à juin 2005, au motif que celle-ci était de condition indépendante. Elle souligne à cet égard que Madame S__________ s'est présentée comme telle et produit copie du contrat conclu avec elle le 7 juin 2004, duquel il ressort que celle-ci était chargée, en qualité de consultant externe, de suivre la réalisation de trois produits, depuis le prototype jusqu'à la livraison dans les bureaux de la société.</w:t>
      </w:r>
    </w:p>
    <w:p>
      <w:r>
        <w:rPr>
          <w:b/>
        </w:rPr>
        <w:t>E. 11</w:t>
      </w:r>
    </w:p>
    <w:p>
      <w:r>
        <w:t>La caisse a au contraire considéré que Madame S__________ avait exercé au service de la société une activité salariée.</w:t>
      </w:r>
    </w:p>
    <w:p>
      <w:r>
        <w:rPr>
          <w:b/>
        </w:rPr>
        <w:t>E. 12</w:t>
      </w:r>
    </w:p>
    <w:p>
      <w:r>
        <w:t>Il y a préalablement lieu de rappeler que, quelque soient les termes employés dans le contrat du 7 juin 2004, ils ne sont pas déterminants pour la qualification du statut. Il appert de la partie en fait qui précède que Madame S__________ ne travaillait pas dans les bureaux de la société, qu'elle n'y venait que sur rendez-vous. Elle ne bénéficiait dès lors pas de l'infrastructure de son lieu de travail. Il semblerait qu'elle ait été autonome dans l'exercice de son activité. On ne saurait parler d'un</w:t>
      </w:r>
    </w:p>
    <w:p>
      <w:r>
        <w:t>A/4925/2007 - 13/15 - rapport de subordination au vu de la description faite tant par Madame S__________ dans son courrier du 11 octobre 2007 que par Monsieur Y__________, entendu par le Tribunal de céans, des tâches qui lui incombaient. Elle devait toutefois à chaque étape du projet soumettre les appels d'offre qu'elle préparait, ainsi que les offres de fournisseurs. L'on peut imaginer que dans ce cadre-là, elle recevait des instructions précises du dirigeant de la société, lesquelles peuvent parfaitement s'intégrer dans le cadre d'un mandat. Un montant forfaitaire avait été prévu de 12'000 fr. payable pour un tiers à l'acceptation des prototypes et pour le solde à la livraison des produits finis. Madame S__________ avait toutefois expliqué à cet égard qu'en attendant, Monsieur Y__________ lui avait demandé d'établir des notes d'honoraires. Ces notes d'honoraires étaient établies sur un papier à en-tête "Conseils et développement" au nom de Madame S__________, sans autres indications. Les factures portent des numéros dont les quatre derniers chiffres représentent l'année, les deux précédents le mois, à l'exception de celle du 25 février 2005 dont le numéro est le 6002005. On peut ainsi imaginer que le premier chiffre correspond au nombre de factures envoyées dans le mois, soit une pour octobre 2004, deux pour novembre 2004, quatre pour décembre 2004, cinquante pour janvier 2005, six pour février 2005, sept pour mars 2005, huit pour avril 2005 et neuf pour mai 2005, ce qui laisserait penser que Madame S__________ avait d'autres clients. S'agissant de la question du risque économique, il est vrai que, selon le contrat du 7 juin 2004, s'il était mis fin à sa mission, une somme forfaitaire de 2'000 fr. lui aurait été due, quoi qu'il en soit, soit indépendamment du succès de ses démarches pour concrétiser les produits de la société. Toutefois, le solde du montant forfaitaire, à savoir les 2/3 de 12'000 fr., ne devait quant à lui, n'être payé qu'à la livraison des produits finis, ce qui implique indéniablement un risque de perte. Au bas de ses factures, Madame S__________ indique expressément que ses frais sont inclus, sans toutefois en préciser ni le montant, ni la nature. On ne saurait donc conclure de cette indication qu'elle ne supportait pas elle-même les frais occasionnés par l'exécution de son travail. Il ressort du contrat du 7 juin 2004 qu'elle ne pouvait pas agir en son propre nom et pour son propre compte, ce qui pourrait constituer un indice en faveur d'un statut de salarié. Il convient toutefois de rappeler que le courtier, reconnu par le TF comme étant en principe de condition indépendante, sert précisément d'intermédiaire pour la négociation d'un contrat. Le fait qu'elle n'était pas enregistrée comme indépendante en France n'est en soi pas déterminant ni dans un sens ni dans un autre. On peut relever à cet égard qu'elle avait déposé dans le canton du Jura une demande en ce sens auprès du Contrôle de l'habitant et sollicité de Monsieur U__________ la mise à sa</w:t>
      </w:r>
    </w:p>
    <w:p>
      <w:r>
        <w:t>A/4925/2007 - 14/15 - disposition de locaux à Porrentruy. On peut en déduire qu'elle envisageait d'exercer en Suisse une activité indépendante. On ne sait cependant pas si tel était déjà le cas d'octobre 2004 à juin 2005. Il est intéressant enfin de relever à la lumière des témoignages entendus que la société utilisait de nombreux prestataires indépendants. Le dossier de Madame S__________ était par ailleurs classé parmi ceux-ci.</w:t>
      </w:r>
    </w:p>
    <w:p>
      <w:r>
        <w:rPr>
          <w:b/>
        </w:rPr>
        <w:t>E. 13</w:t>
      </w:r>
    </w:p>
    <w:p>
      <w:r>
        <w:t>Quand bien même les circonstances exactes de l'activité exercée par l'appelée en cause n'ont ainsi pas pu être établies de manière claire et irréfutable vu le défaut de l'intéressée - on ne peut que déplorer également le fait que Madame W__________ n'ait pas jugé utile de se présenter devant le Tribunal de céans -, celui-ci est cependant d'avis que plusieurs indices présents au dossier conduisent à retenir plutôt l'existence d'une activité indépendante.</w:t>
      </w:r>
    </w:p>
    <w:p>
      <w:r>
        <w:rPr>
          <w:b/>
        </w:rPr>
        <w:t>E. 14</w:t>
      </w:r>
    </w:p>
    <w:p>
      <w:r>
        <w:t>Aussi le recours est-il admis.</w:t>
      </w:r>
    </w:p>
    <w:p>
      <w:r>
        <w:t>A/4925/2007 - 15/15 -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