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ATAS/157/2025 vom 14. März 2025</w:t>
      </w:r>
    </w:p>
    <w:p>
      <w:r>
        <w:t>GE Cour de justice, 2025-03-14, FR</w:t>
      </w:r>
    </w:p>
    <w:p>
      <w:r>
        <w:rPr>
          <w:b/>
        </w:rPr>
        <w:t xml:space="preserve">Quelle: </w:t>
      </w:r>
      <w:r>
        <w:t>https://mcp.opencaselaw.ch/entscheid/ge_gerichte_ATAS_157_2025</w:t>
      </w:r>
    </w:p>
    <w:p>
      <w:r>
        <w:t>FR: GE_GERICHTE ATAS/157/2025 du 14 mars 2025</w:t>
      </w:r>
    </w:p>
    <w:p>
      <w:r>
        <w:t>IT: GE_GERICHTE ATAS/157/2025 del 14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refus d’octroi de prestations de l’assurance-invalidité.</w:t>
      </w:r>
    </w:p>
    <w:p>
      <w:r>
        <w:rPr>
          <w:b/>
        </w:rPr>
        <w:t>E. 2.1</w:t>
      </w:r>
    </w:p>
    <w:p>
      <w:r>
        <w:t>À teneur de l'art. 1 al. 1 LAI, les dispositions de la LPGA s'appliquent à l'assurance-invalidité, à moins que la loi n'y déroge expressément. Le 1er janvier 2022, sont entrées en vigueur les modifications de la LAI du 19 juin 2020 (développement continu de l’AI ; RO 2021 705) ainsi que celles du</w:t>
      </w:r>
    </w:p>
    <w:p>
      <w:r>
        <w:rPr>
          <w:b/>
        </w:rPr>
        <w:t>E. 2.2</w:t>
      </w:r>
    </w:p>
    <w:p>
      <w:r>
        <w:t>L’art. 8 LPGA prévoit qu’est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Conformément à l’art. 28a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L’art. 24septies RAI stipule que le statut d’un assuré est déterminé en fonction de la situation professionnelle dans laquelle il se trouverait s’il n’était pas atteint dans sa santé (al. 1). L’assuré est réputé (al. 2) : exercer une activité lucrative au sens de l’art. 28a al. 1 LAI dès lors qu’en bonne santé, il exercerait une activité lucrative à un taux d’occupation de 100% ou plus (let. a) ; ne pas exercer d’activité lucrative au sens de l’art. 28a al. 2 LAI dès lors qu’en bonne santé, il n’exercerait pas d’activité lucrative (let. b) ; exercer une activité lucrative à temps</w:t>
      </w:r>
    </w:p>
    <w:p>
      <w:r>
        <w:t>A/945/2024 - 6/12 - partiel au sens de l’art. 28a al. 3 LAI dès lors qu’en bonne santé, il exercerait une activité lucrative à un taux d’occupation de moins de 100% (let. c).</w:t>
      </w:r>
    </w:p>
    <w:p>
      <w:r>
        <w:rPr>
          <w:b/>
        </w:rPr>
        <w:t>E. 2.3</w:t>
      </w:r>
    </w:p>
    <w:p>
      <w:r>
        <w:t>Pour déterminer la méthode d'évaluation de l'invalidité applicable dans un cas particulier, il faut à chaque fois se demander ce que l'assuré aurait fait si l'atteinte à la santé n'était pas survenue (ATF 137 V 334 consid. 3.2). Il convient par conséquent de procéder à une évaluation hypothétique incluant la prise en compte des choix également hypothétiques que l'assuré aurait faits (ATF 144 I 28 consid. 2.4).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2.4</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rPr>
          <w:b/>
        </w:rPr>
        <w:t>E. 2.4.1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w:t>
      </w:r>
    </w:p>
    <w:p>
      <w:r>
        <w:t>A/945/2024 - 7/12 -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w:t>
      </w:r>
    </w:p>
    <w:p>
      <w:r>
        <w:rPr>
          <w:b/>
        </w:rPr>
        <w:t>E. 2.4.2</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w:t>
      </w:r>
    </w:p>
    <w:p>
      <w:r>
        <w:t>A/945/2024 - 8/12 -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w:t>
      </w:r>
    </w:p>
    <w:p>
      <w:r>
        <w:rPr>
          <w:b/>
        </w:rPr>
        <w:t>E. 2.4.3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w:t>
      </w:r>
    </w:p>
    <w:p>
      <w:r>
        <w:rPr>
          <w:b/>
        </w:rPr>
        <w:t>E. 2.4.4</w:t>
      </w:r>
    </w:p>
    <w:p>
      <w:r>
        <w:t>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w:t>
      </w:r>
    </w:p>
    <w:p>
      <w:r>
        <w:rPr>
          <w:b/>
        </w:rPr>
        <w:t>E. 2.5</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w:t>
      </w:r>
    </w:p>
    <w:p>
      <w:r>
        <w:t>A/945/2024 - 9/12 -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2.6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t>A/945/2024 - 10/12 -</w:t>
      </w:r>
    </w:p>
    <w:p>
      <w:r>
        <w:rPr>
          <w:b/>
        </w:rPr>
        <w:t>E. 3</w:t>
      </w:r>
    </w:p>
    <w:p>
      <w:r>
        <w:t>En l’espèce, le statut de personne non active retenu par l’intimé n’est pas remis en cause. La recourante ne conteste en particulier pas qu’elle ne travaille plus depuis 2002 et qu’elle n’a jamais cherché à réintégrer le marché de l’emploi. Devant la chambre de céans, l’intéressée se prévaut uniquement d’une aggravation de son état de santé, en raison d’une dégradation de son genou gauche et de crises d’angoisse de plus en plus fréquentes. Elle ne produit toutefois aucune pièce à l’appui de son recours, étant rappelé que les faits survenus postérieurement à la décision entreprise ne peuvent, en tout état, être pris en compte. Le seul document versé au dossier devant l’intimé est le certificat médical - très succinct - du Dr B______ du 23 janvier 2024. Le médecin se limite toutefois à confirmer l’apparition de crises d’angoisse chez l’assurée, mais n’évoque aucunement une augmentation des crises. Or, dans son rapport du 18 août 2023, l’expert psychiatre avait tenu compte des crises d’angoisse rapportées par l’assurée, mais avait considéré que celles-ci répondaient bien à la prise de Temesta et n’avaient aucun impact sur les tâches de la vie quotidienne de la recourante, sa faculté à se déplacer, le plaisir tiré de nombreuses activités distractives et de loisirs et la qualité de ses relations avec ses filles ou sa meilleure amie. La recourante n’apporte aucun élément permettant de remettre en cause cette appréciation. Elle ne critique pas davantage l’expertise bi-disciplinaire du 18 août 2023, ni sa valeur probante. La chambre de céans constate au demeurant que le rapport a été rendu en pleine connaissance du dossier, qu’il comporte une anamnèse et un status fouillé dans chaque spécialité médicale concernée, qu’il tient compte des plaintes de l’assurée et que les diagnostics et conclusions sont bien motivés. Ainsi, en l’absence de critiques objectivées et rapports médicaux contradictoires, il convient de lui reconnaitre pleine valeur probante et de suivre ses conclusions en tant qu’elle retient, sur le plan psychiatrique, une capacité de travail entière dans une activité adaptée aux limitations fonctionnelles. Le dossier ne contient pour le reste aucune pièce médicale, établie par un spécialiste en psychiatrie, sur les difficultés de la recourante d'accomplir les travaux habituels. Ainsi, et en l’absence de divergence s’agissant des troubles d’ordre psychique entre les résultats de l'enquête économique sur le ménage et les constatations d'ordre médical relatives à la capacité d'accomplir les travaux habituels, il y a lieu de se référer aux résultats de l’enquête ménagère. C’est le lieu de rappeler que lorsque, comme en l’espèce, l’assurée a le statut de personne non active, une telle enquête a, en principe,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Une telle situation exceptionnelle ne se retrouve pas dans le cas d’espèce, ce que la recourante n’allègue d’ailleurs pas. S’agissant, enfin, des conclusions du rapport d’enquête économique, la chambre de céans constate que ce document a été établi par une personne qualifiée, au</w:t>
      </w:r>
    </w:p>
    <w:p>
      <w:r>
        <w:t>A/945/2024 - 11/12 - domicile de l’intéressée. Il rappelle toutes les atteintes à la santé retenues dans le rapport d’expertise, aux niveaux somatique et psychique, et énumère précisément les limitations fonctionnelles retenues. La recourante ne critique pas les éléments retenus par l’enquêtrice s’agissant des taux d’empêchement retenus dans les différents postes. Elle ne fait en particulier pas valoir que les indications de l’enquêtrice concernant chaque tâche seraient erronées ni en quoi elles seraient contraires aux indications qu’elle a données lorsqu’elle a été auditionnée. Il n’y a donc aucune raison de s’écarter des conclusions de l’enquêtrice. Le taux d’empêchement avant et après obligation de réduire le dommage de 14.6% n’apparait ainsi pas critiquable.</w:t>
      </w:r>
    </w:p>
    <w:p>
      <w:r>
        <w:rPr>
          <w:b/>
        </w:rPr>
        <w:t>E. 4</w:t>
      </w:r>
    </w:p>
    <w:p>
      <w:r>
        <w:t>Les considérations qui précèdent conduisent au rejet du recours. La procédure n'étant pas gratuite (art. 69 al. 1bis LAI), il y a lieu de condamner la recourante au paiement d'un émolument de CHF 200.-.</w:t>
      </w:r>
    </w:p>
    <w:p>
      <w:r>
        <w:t>A/945/2024 - 12/12 -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