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ATAS/157/2019 vom 26. Februar 2019</w:t>
      </w:r>
    </w:p>
    <w:p>
      <w:r>
        <w:t>GE Cour de justice, 2019-02-26, FR</w:t>
      </w:r>
    </w:p>
    <w:p>
      <w:r>
        <w:rPr>
          <w:b/>
        </w:rPr>
        <w:t xml:space="preserve">Quelle: </w:t>
      </w:r>
      <w:r>
        <w:t>https://mcp.opencaselaw.ch/entscheid/ge_gerichte_ATAS_157_2019</w:t>
      </w:r>
    </w:p>
    <w:p>
      <w:r>
        <w:t>FR: GE_GERICHTE ATAS/157/2019 du 26 février 2019</w:t>
      </w:r>
    </w:p>
    <w:p>
      <w:r>
        <w:t>IT: GE_GERICHTE ATAS/157/2019 del 26 febbraio 2019</w:t>
      </w:r>
    </w:p>
    <w:p>
      <w:pPr>
        <w:pStyle w:val="Heading2"/>
      </w:pPr>
      <w:r>
        <w:t>Erwägungen</w:t>
      </w:r>
    </w:p>
    <w:p>
      <w:r>
        <w:rPr>
          <w:b/>
        </w:rPr>
        <w:t>E. 1</w:t>
      </w:r>
    </w:p>
    <w:p>
      <w:r>
        <w:t>a. Conformément à l'art. 134 al. 1 let. a ch. 5 de la loi sur l'organisation judiciaire du 26 septembre 2010 (LOJ - E 2 05), la CJCAS connaît en instance unique des</w:t>
      </w:r>
    </w:p>
    <w:p>
      <w:r>
        <w:t>A/3706/2017 - 9/18 -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a été interjeté en temps utile, compte tenu de la suspension des délais du 15 juillet au 15 août (art. 38 al. 4 let. b et 60 LPGA ; art. 89B LPA), et il respecte les exigences de forme et de contenu par la loi (art. 61 let. b LPGA ; cf. aussi art. 89B LPA). En outre, la recourante a qualité pour recourir (art. 59 LPGA). c. Le recours est donc recevable.</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attaquée accorde à l’assurée une indemnité pour atteinte à l’intégrité de 10 % et nie son droit à une rente d’invalidité. La recourante, qui conclut au versement d’une rente entière d’invalidité, ne conteste plus au stade du recours l’indemnité pour atteinte à l’intégrité qui lui a été accordée. Partant, le litige porte uniquement sur l’évaluation de son degré d’invalidité.</w:t>
      </w:r>
    </w:p>
    <w:p>
      <w:r>
        <w:rPr>
          <w:b/>
        </w:rPr>
        <w:t>E. 3</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w:t>
      </w:r>
    </w:p>
    <w:p>
      <w:r>
        <w:t>A/3706/2017 - 10/18 -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w:t>
      </w:r>
    </w:p>
    <w:p>
      <w:r>
        <w:rPr>
          <w:b/>
        </w:rPr>
        <w:t>E. 4</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w:t>
      </w:r>
    </w:p>
    <w:p>
      <w:r>
        <w:t>A/3706/2017 - 11/18 -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A/3706/2017 - 12/18 -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t>A/3706/2017 - 13/18 -</w:t>
      </w:r>
    </w:p>
    <w:p>
      <w:r>
        <w:rPr>
          <w:b/>
        </w:rPr>
        <w:t>E. 8</w:t>
      </w:r>
    </w:p>
    <w:p>
      <w:r>
        <w:t>En l’espèce, la décision attaquée, fondée sur le rapport final du Dr E______, retient que l’assurée ne peut plus travailler comme nettoyeuse, mais qu’elle demeure pleinement capable d’exercer une activité nécessitant essentiellement l’utilisation du membre supérieur droit, idéalement en reposant son avant-bras gauche sur un support. Pour sa part, la recourante – sans contester la valeur probante du rapport du Dr E______ – soutient qu’elle ne dispose d’aucune chance réaliste de retrouver un emploi. Elle conteste par ailleurs les DPT sélectionnées par l’intimée et requiert subsidiairement qu’un abattement de 25 % soit déduit de son revenu d’invalide.</w:t>
      </w:r>
    </w:p>
    <w:p>
      <w:r>
        <w:rPr>
          <w:b/>
        </w:rPr>
        <w:t>E. 9</w:t>
      </w:r>
    </w:p>
    <w:p>
      <w:r>
        <w:t>La chambre de céans constate que le rapport final du Dr E______, bien que succinct, a été établi en pleine connaissance du dossier. Il relate les plaintes de l’assuré, repose sur un examen clinique complet, et ses conclusions sont motivées. Il satisfait aux réquisits jurisprudentiels relatifs à la valeur probante de rapports médicaux. Par ailleurs, l’on ne trouve dans le dossier aucun document qui permettrait de mettre en doute la pleine capacité de travail retenue par le Dr E______ dans toute activité adaptée, compte tenu des seules séquelles accidentelles dont doit répondre l’intimée, à savoir des troubles de l’épaule gauche (cf. infra consid. 10b). Il n’y a dès lors pas lieu de s’écarter de l’analyse et des conclusions du rapport du Dr E______, dont la recourante ne conteste d’ailleurs pas la valeur probante.</w:t>
      </w:r>
    </w:p>
    <w:p>
      <w:r>
        <w:rPr>
          <w:b/>
        </w:rPr>
        <w:t>E. 10</w:t>
      </w:r>
    </w:p>
    <w:p>
      <w:r>
        <w:t>a. La recourante objecte que l’on ne saurait se fonder sur des possibilités de travail irréalistes, conformément à l’art. 16 LPGA. Selon elle, ses chances de réinsertion professionnelles sont inexistantes, dès lors qu’elle était âgée de 60 ans et 7 mois lorsque le médecin d’arrondissement a rédigé son rapport final. En outre, elle a travaillé au service du même employeur pendant plus de vingt ans et souffre de multiples atteintes à la santé physiques et psychiques, dont découlent diverses limitations fonctionnelles. Enfin, elle précise que l’assurance-invalidité, dans son préavis de décision, lui a reconnu un degré d’invalidité de 100 % dans la sphère professionnelle. b. Tout d’abord, il convient de préciser que la reconnaissance par l’assurance invalidité d’un degré d’invalidité de 100 % dans le domaine professionnel n’a pas d’incidence sur la présente cause. En effet, la responsabilité de l'assureur-accidents se limite aux seules atteintes qui se trouvent en lien de causalité naturelle et adéquate avec l'accident assuré (ATF 119 V 337 consid. 1 et les références). Or, comme cela ressort du rapport du SMR d’août 2017, l’assurance-invalidité a pris en considération de nombreuses autres atteintes (schizophrénie simple avec déficit progressif ; décompression sélective L3-L4 sur canal lombaire étroit ; cervico-brachialgies sur discopathies C5-C6 et C6-C7 ; gonalgies sur lésion méniscale) que celle résultant strictement de l'accident du 1er mars 2016. À cet égard, on rappellera que la chute sur le bras et l’épaule gauche qu’a subie l’assurée n’a entraîné qu’une lésion étendue de la coiffe des rotateurs. Il</w:t>
      </w:r>
    </w:p>
    <w:p>
      <w:r>
        <w:t>A/3706/2017 - 14/18 - en découle que l’intimée ne répond que des troubles dont souffre l’assurée au niveau de l’épaule gauche, contrairement à l’assurance-invalidité. c. Ensuite, contrairement à ce que semble considérer la recourante, il n’y a pas lieu de procéder à l’analyse globale applicable en matière d’assurance-invalidité (ATF 138 V 457). En effet, l'âge avancé d'un assuré comme facteur prépondérant à son empêchement de maintenir sa capacité de gain n'est pas pris en considération de la même manière dans l’assurance-invalidité que dans l’assurance-accidents, où l'art. 28 al. 4 OLAA, en lien avec l'art. 18 al. 2 LAA, commande de faire abstraction du facteur de l'âge pour les deux termes de la comparaison des revenus (ATF 134 V 392 consid. 6.2 p. 398 ; 122 V 418 consid. 3b p. 422). Au contraire, l'art. 28 al. 4 OLAA vise à empêcher l'octroi de rentes d'invalidité de l'assurance-accidents qui comporteraient, en fait, une composante de prestation de vieillesse (arrêt du Tribunal fédéral 8C_37/2017 du 15 septembre 2017 consid. 6.1 et les références citées). Cette norme s’applique également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(arrêt du Tribunal fédéral 8C_554/2017 du 4 juillet 2018 consid. 3.3.1 et les références). En l’occurrence, la recourante avait pratiquement atteint l’âge de 61 ans au moment de l’ouverture du droit éventuel à une rente. Il est fort douteux qu’elle puisse retrouver un emploi pour une durée d’emblée limitée de trois ans. L’absence de reprise du travail résulte donc à tout le moins dans une mesure sensible de son âge avancé, ce qui justifie l’application de l’art. 28 al. 4 OLAA. d. S’agissant par ailleurs des limitations fonctionnelles de l’épaule, elles ne sont pas d’une ampleur telle qu’elles contraindraient la recourante à rechercher une activité n’existant pratiquement pas sur le marché du travail. Au contraire, il convient d’admettre qu’il existe sur le marché du travail un éventail suffisamment large d'activités légères et adaptées au handicap de l’épaule gauche, pouvant être exercées principalement avec le bras droit et ne nécessitant pas de formation particulière (arrêt du Tribunal fédéral 8C_553/2011 du 21 octobre 2011 consid. 5). Au demeurant, il n'y a pas lieu d'examiner dans quelle mesure la situation concrète du marché du travail permettrait à la recourante de retrouver un emploi (arrêt du Tribunal fédéral 8C_926/2011 consid. 2.3 et les références). e. Enfin, les autres facteurs invoqués par la recourante, tels que son manque de formation et son parcours professionnel, sont étrangers à la notion d’invalidité et partant, dénués de pertinence. S'il est vrai que des facteurs tels que l'âge, le manque de formation ou les difficultés linguistiques jouent un rôle non négligeable pour déterminer dans un cas donné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w:t>
      </w:r>
    </w:p>
    <w:p>
      <w:r>
        <w:t>A/3706/2017 - 15/18 - impossible la recherche d'une place et, partant, l'utilisation de la capacité de travail résiduelle (arrêt du Tribunal fédéral 8C_132/2017 du 5 septembre 2017 consid. 4.2 ; arrêt du Tribunal fédéral des assurances I 377/98 du 28 juillet 1999 consid. 1 et les références).</w:t>
      </w:r>
    </w:p>
    <w:p>
      <w:r>
        <w:rPr>
          <w:b/>
        </w:rPr>
        <w:t>E. 11</w:t>
      </w:r>
    </w:p>
    <w:p>
      <w:r>
        <w:t>Reste à calculer le degré d’invalidité dès le 1er avril 2017, date à laquelle l’état de l’épaule gauche était stabilisé, selon le Dr E______. a. À titre liminaire, on précisera que la recourante ne conteste pas le revenu sans invalidité fixé dans la décision attaquée (CHF 46'022.-). Seul est litigieux le revenu d’invalide, chiffré à CHF 53'799.- sur la base des DPT. À cet égard, la recourante fait valoir que quatre des cinq DPT retenues par la SUVA seraient inadaptées, car elles exigeraient une « formation élémentaire », alors qu’elle n’a suivi que l’école primaire au Portugal. En l’espèce, l’intimée a retenu les cinq postes suivants dans les cantons de Genève et Vaud : - n° 373720 (agent réceptionnaire – agent d’accueil) ; - n° 2259 (collaboratrice de production – montage, câblage) ; - n° 5201 (collaboratrice de production – assemblage électrique) ; - n° 489987 (employée de bureau – coursière) ; - n° 3305 (aide-mécanicienne – monteuse de modules). Le terme « formation élémentaire » mentionné dans les DPT se réfère généralement à une courte période de formation dans le nouveau domaine d’activité (arrêt du Tribunal fédéral 8C_430/2014 du 21 décembre 2015 consid. 4.4). Si l’assurée n’a suivi que l’école primaire, cela ne la rend pas pour autant inapte à suivre une formation de quelques semaines. Cela étant, on peut se demander si les DPT sélectionnées sont compatibles avec son état de santé, dans la mesure où la plupart de ces emplois nécessitent l’usage des deux mains. Quoi qu’il en soit, il n'est pas nécessaire d'examiner plus avant l’adéquation des DPT retenues, car l’issue du litige ne serait pas plus favorable à l’assurée si l’on chiffrait son revenu d’invalide sur la base des statistiques résultant de l’ESS. En effet, un tel calcul n’aboutirait pas à un taux d'incapacité de gain supérieur à celui retenu dans la décision attaquée (0 %), comme on va le voir. b. Le salaire annuel de référence est celui auquel peuvent prétendre les femmes effectuant des activités simples et répétitives dans le secteur privé selon l’ESS 2014 (tableau TA1_tirage_skill_level, ligne total, niveau 1), à savoir CHF 51'600.- (CHF 4'300 x 12). Étant donné que les salaires bruts standardisés tiennent compte d’un horaire de 40 heures, soit d’une durée hebdomadaire de travail inférieure à la moyenne usuelle dans les entreprises en 2017 (41.7 heures par semaine ; office fédéral de la statistique – statistique de la durée normale du travail dans les entreprises, DNT), ce montant doit être porté à CHF 53'793.- (CHF 51'600.- x</w:t>
      </w:r>
    </w:p>
    <w:p>
      <w:r>
        <w:t>A/3706/2017 - 16/18 - 41.7 / 40), puis à CHF 54'718.- une fois indexé à 2017 selon l’évolution des salaires en termes nominaux (de 2014 à 2017, l’indice est passé de 2'673 à 2'719, soit CHF 53'793.- x 2'719 / 2'673). c. L’intimée propose de retrancher 15 % de ce montant afin de tenir compte des circonstances du cas particulier, singulièrement des limitations fonctionnelles. De son côté, la recourante requiert que l’abattement soit porté à 25 %, arguant qu’elle est âgée, que son handicap de l’épaule la rend pratiquement mono manuelle et qu’elle a travaillé pour un seul employeur depuis 1991, de surcroît à temps partiel. Contrairement à ce que soutient la recourante, les circonstances du cas d’espèce ne justifient pas de retenir le taux d’abattement maximal et donc de réduire de 25 % le revenu tiré des statistiques salariales :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(arrêt du Tribunal fédéral 9C_200/2017 du 14 novembre 2017 consid. 4.5). Par ailleurs,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Encore récemment,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telles la formation et l'expérience professionnelle de l'assuré concerné. En l’occurrence, d’éventuels effets pénalisants au niveau salarial induits par l’âge ne sont pas suffisamment établis, dès lors que les activités adaptées envisagées ne requièrent ni formation, ni expérience professionnelle spécifique (arrêt du Tribunal fédéral 8C_103/2018 du 25 juillet 2018 consid. 5.2). Pour le reste, la recourante ne démontre pas de manière convaincante en quoi les autres circonstances qu’elle invoque seraient susceptibles de diminuer concrètement ses perspectives salariales sur un marché du travail équilibré. Elle souffre certes de limitations fonctionnelles d’origine accidentelle au niveau de l’épaule gauche, mais celles-ci n’empêchent pas l’exercice à 100 % d’une activité adaptée qui serait accomplie principalement avec le bras droit. Corollairement, le critère d’abattement tiré du taux d’occupation partiel n’est pas réalisé, pas plus que celui de la nationalité, la recourante ayant été naturalisée suisse. Au vu de l’ensemble des circonstances, un abattement excédant 15 % ne se justifie pas (arrêt du Tribunal fédéral 8C_132/2017 du 5 septembre 2017 consid. 4.2). d. Après déduction de 15 %, le revenu d’invalide que la recourante pourrait réaliser malgré ses troubles de l’épaule gauche s’élève en définitive à CHF 46'510.-</w:t>
      </w:r>
    </w:p>
    <w:p>
      <w:r>
        <w:t>A/3706/2017 - 17/18 - (85 % x CHF 54'718.-). Ce revenu étant supérieur au salaire sans invalidité qu’elle aurait perçu sans accident, soit un montant incontesté de CHF 46'022.-, il n’y a pas de perte de gain. Partant, c’est à juste titre que l’intimée lui a refusé l’octroi d’une rente de l’assurance-accidents.</w:t>
      </w:r>
    </w:p>
    <w:p>
      <w:r>
        <w:rPr>
          <w:b/>
        </w:rPr>
        <w:t>E. 12</w:t>
      </w:r>
    </w:p>
    <w:p>
      <w:r>
        <w:t>Mal fondé, le recours est rejeté.</w:t>
      </w:r>
    </w:p>
    <w:p>
      <w:r>
        <w:rPr>
          <w:b/>
        </w:rPr>
        <w:t>E. 13</w:t>
      </w:r>
    </w:p>
    <w:p>
      <w:r>
        <w:t>La procédure est gratuite (art. 89H al. 4 LPA). Vu l’issue donnée au recours, la recourante n’a pas droit à une indemnité de procédure (art. 61 let. g LPGA). ******</w:t>
      </w:r>
    </w:p>
    <w:p>
      <w:r>
        <w:t>A/3706/2017 - 18/18 -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