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ATAS/156/2025 vom 13. März 2025</w:t>
      </w:r>
    </w:p>
    <w:p>
      <w:r>
        <w:t>GE Cour de justice, 2025-03-13, FR</w:t>
      </w:r>
    </w:p>
    <w:p>
      <w:r>
        <w:rPr>
          <w:b/>
        </w:rPr>
        <w:t xml:space="preserve">Quelle: </w:t>
      </w:r>
      <w:r>
        <w:t>https://mcp.opencaselaw.ch/entscheid/ge_gerichte_ATAS_156_2025</w:t>
      </w:r>
    </w:p>
    <w:p>
      <w:r>
        <w:t>FR: GE_GERICHTE ATAS/156/2025 du 13 mars 2025</w:t>
      </w:r>
    </w:p>
    <w:p>
      <w:r>
        <w:t>IT: GE_GERICHTE ATAS/156/2025 del 13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Interjeté dans la forme et le délai prévus par la loi, compte tenu de la suspension des délais pendant la période du 18 décembre au 2 janvier inclusivement (art. 38 al. 4 let. c LPGA et art. 89C let. c LPA), le recours est recevable.</w:t>
      </w:r>
    </w:p>
    <w:p>
      <w:r>
        <w:rPr>
          <w:b/>
        </w:rPr>
        <w:t>E. 2</w:t>
      </w:r>
    </w:p>
    <w:p>
      <w:r>
        <w:t>Le litige porte sur le bien-fondé du refus de prestations de l’intimé.</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la décision querellée a certes été rendue postérieurement au 1er janvier 2022. Toutefois, la demande de prestations ayant été déposée en novembre 2020, un éventuel droit à une rente d’invalidité naîtrait antérieurement</w:t>
      </w:r>
    </w:p>
    <w:p>
      <w:r>
        <w:t>A/180/2024 - 7/14 - au 1er janvier 2022 (cf. art. 29 al. 1 LAI), de sorte que les dispositions applicables seront citées dans leur ancienne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4.3.1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w:t>
      </w:r>
    </w:p>
    <w:p>
      <w:r>
        <w:t>A/180/2024 - 8/14 -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4.3.2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4.3.3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4.3.4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4.3.5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w:t>
      </w:r>
    </w:p>
    <w:p>
      <w:r>
        <w:t>A/180/2024 - 9/14 - sur la valeur probante du rapport du médecin concerné et, par conséquent, la violation du principe mentionné (arrêt du Tribunal fédéral 9C_973/2011 du 4 mai 2012 consid. 3.2.1).</w:t>
      </w:r>
    </w:p>
    <w:p>
      <w:r>
        <w:rPr>
          <w:b/>
        </w:rPr>
        <w:t>E. 4.3.6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w:t>
      </w:r>
    </w:p>
    <w:p>
      <w:r>
        <w:t>A/180/2024 - 10/14 -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7.1</w:t>
      </w:r>
    </w:p>
    <w:p>
      <w:r>
        <w:t>En l’espèce, l’intimé a retenu que la recourante souffre d’une gonarthrose bilatérale stable qui l’a empêchée totalement d’exercer son activité habituelle depuis le 29 juillet 2013. Selon lui, elle a toutefois recouvré une capacité de travail de 80% dans une activité adaptée à son état de santé depuis mai 2018. L’intimé se fonde sur le rapport du SMR du 3 août 2023 qui se rallie aux conclusions du rapport d’expertise du Dr G______, dont la recourante conteste la valeur probante en invoquant notamment les rapports du Dr B______ et du Prof. C______.</w:t>
      </w:r>
    </w:p>
    <w:p>
      <w:r>
        <w:rPr>
          <w:b/>
        </w:rPr>
        <w:t>E. 7.2</w:t>
      </w:r>
    </w:p>
    <w:p>
      <w:r>
        <w:t>Il convient donc d’examiner quelle valeur probante peut être accordée au rapport d’expertise du SEM. Si, au plan formel, ce rapport contient tous les éléments nécessaires selon la jurisprudence – soit, notamment, une anamnèse, un résumé du dossier et des diagnostics –, la Cour de céans est toutefois d’avis que ses conclusions n’emportent pas la conviction, pour les motifs qui suivent. L’expert a retenu, à titre de diagnostics, un status post-ostéotomie de valgisation du genou droit stable, un status de gonarthrose bilatérale stable, une obésité morbide avec un BMI supérieur à 35, une tendinopathie fissuraire des épaules stabilisée et un status post-épicondylite bilatérale stabilisée. On relèvera déjà que l’expert n’a ni spécifié quels étaient les diagnostics ayant une répercussion sur la capacité de travail de la recourante, ni indiqué la gravité de chaque atteinte. S’agissant des troubles aux genoux, l’expert a relevé que les symptômes de la recourante n’étaient pas « validés par l’examen du jour » et que les douleurs persistantes au genou gauche étaient « non retrouvées à l’examen somatique » (expertise ch. 6.1 et 6.2). Ces indications semblent toutefois peu compatibles avec les pièces versées au dossier. En effet, la recourante consulte régulièrement et depuis plusieurs années le Prof. C______ pour ses troubles, étant relevé que leur importance est telle que l’indication d’une intervention chirurgicale au genou gauche a été posée de longue date par ce spécialiste (cf. rapports des 29 avril 2021 et 19 mai 2022), ce que le Dr G______ ne conteste au demeurant pas. En outre, la radiographie des genoux effectuée le 3 avril 2024, soit quatre mois seulement après la décision litigieuse, a attesté l’existence d’une gonarthrose tricomportimentale bilatérale, qualifiée d’importante au niveau fémoro-tibial externe et fémoro-patellaire, de modérée au niveau fémoro-tibial interne des deux</w:t>
      </w:r>
    </w:p>
    <w:p>
      <w:r>
        <w:t>A/180/2024 - 11/14 - côtés (cf. rapport du 4 avril 2024 du Dr I______). On note encore que l’expert a qualifié la gonarthrose bilatérale de « stable », alors même que le Prof. C______ fait état d’une « aggravation progressive » (cf. rapport du 19 mai 2022), sans que cette divergence n’ait fait l’objet d’une discussion de la part du Dr G______. S’agissant des épaules, l’expert retient, de manière contradictoire, l’absence de diagnostic à l’examen somatique (p. 13 expertise) et une tendinopathie fissuraire des épaules stabilisée (p. 18 expertise). En outre, l’indication du Dr G______ concernant les douleurs rapportées par la recourante au niveau des épaules, « non retrouvées à l’examen somatique », paraît également peu compatible avec les éléments figurant au dossier. En effet, force est de constater qu’en raison des douleurs à l’épaule gauche en particulier, des examens paracliniques ont été effectués les 7 mars et 14 juin 2022. La recourante a d’ailleurs encore été soumise, en raison de ses douleurs invalidantes, à une échographie des épaules, en date du 14 mars 2023, soit quatre mois avant l’expertise. Une importante déchirure des tendons sus-épineux associée à une bursite sous-acromio-deltoïdienne modérée a alors été constatée des deux côtés. Il était en outre précisé que l’examen était limité par la morphologie de la patiente, de sorte qu’il était recommandé de le compléter par une IRM (cf. rapport du 14 mars 2023 de la Dre F______). Au vu de cette recommandation, l’expert aurait à tout le moins dû, avant de rendre ses conclusions, solliciter ce complément. En effet, il résulte de l’arthro-IRM de l’épaule gauche effectuée le 3 avril 2024, soit quatre mois seulement après la date déterminante de la décision litigieuse, que la recourante présente une omarthrose marquée associée à une arthrose acromio-claviculaire modérée, une ténosynovite fissuraire importante de la partie proximale et intra-articulaire du long chef du biceps sans signe de rupture complète, un labrum d’aspect dégénératif, fissuraire et désinséré dans sa partie supérieure avec une extension dans le plan du long chef du biceps, une déchirure partielle de la surface articulaire du sus-épineux, occupant plus de 50% de l’épaisseur tendineuse avec une extension dans le plan interstitiel du sus-épineux et sous-épineux sans argument pour une déchirure transfixiante ainsi qu’une déchirure partielle mesurant 11 mm du sous-scapulaire sans signe de luxation du long chef du biceps (cf. rapport du 5 avril 2024 du Dr I______). Si ce rapport a certes été établi postérieurement à la date de la décision litigieuse, le 1er décembre 2023, il n’en demeure pas moins qu’il se réfère à des constatations médicales étroitement liées à l’objet litige et de nature à en influencer l’appréciation au moment où la décision attaquée a été rendue, de sorte que sa teneur ne saurait être, d’emblée, écartée, ce d’autant moins que les diagnostics figurant dans ce rapport mettent sérieusement en doute les conclusions auxquelles a abouti l’expert concernant les atteintes dont souffre la recourante à son épaule gauche. S’agissant des coudes, l’expert a retenu que la recourante présente uniquement un status post-épicondylite bilatérale stabilisée, ce qui ne saurait, au vu des éléments figurant au dossier, être confirmé, dès lors qu’il est fait état de l’existence</w:t>
      </w:r>
    </w:p>
    <w:p>
      <w:r>
        <w:t>A/180/2024 - 12/14 - éventuelle d’une arthropathie et de la nécessité d’effectuer un bilan radiographique (cf. rapport du 14 mars 2023 de la Dre F______), complément que l’expert n’a pas non plus sollicité avant de rendre ses conclusions. Pour l’ensemble de ces motifs, les diagnostics retenus par l’expert n’apparaissent pas suffisamment convaincants.</w:t>
      </w:r>
    </w:p>
    <w:p>
      <w:r>
        <w:rPr>
          <w:b/>
        </w:rPr>
        <w:t>E. 7.3</w:t>
      </w:r>
    </w:p>
    <w:p>
      <w:r>
        <w:t>S’agissant de la capacité de travail de la recourante, le Dr G______ a retenu que l’intéressée présentait uniquement des limitations fonctionnelles en raison des atteintes aux membres inférieurs. Sa capacité à exercer son activité habituelle était nulle depuis de nombreuses années, mais totale dans une activité adaptée avec une diminution de rendement de 20% (hormis de février à avril 2018). En l’état, au vu des doutes existants concernant les diagnostics retenus par l’expert, la capacité de travail résiduelle constatée par ce dernier n’apparaît pas non plus convaincante, étant encore relevé que l’appréciation divergente du Prof. C______ – qui a retenu une capacité de travail résiduelle de 50% dans une activité adaptée (cf. rapports des 29 avril 2021 et 19 mai 2022) –, n’a fait l’objet d’aucune discussion de la part du Dr G______ (expertise p. 17, ch. 6.2). Pour l’ensemble de ces motifs, la Cour de céans est d’avis que le rapport d’expertise du SEM ne peut se voir reconnaître une pleine valeur probante. Il ne saurait fonder une base fiable pour se prononcer, de manière définitive, sur les atteintes de la recourante, les limitations fonctionnelles qui en découlent et la capacité de travail.</w:t>
      </w:r>
    </w:p>
    <w:p>
      <w:r>
        <w:rPr>
          <w:b/>
        </w:rPr>
        <w:t>E. 7.4</w:t>
      </w:r>
    </w:p>
    <w:p>
      <w:r>
        <w:t>Par ailleurs, les autres pièces versées au dossier ne permettent pas non plus de déterminer, au degré de la vraisemblance prépondérante, les diagnostics présentés par la recourante. Les rapports établis par le SMR ne sont, en l'occurrence, pas déterminants pour statuer sur l’objet du litige, dès lors qu’il s’est contenté de se rallier aux conclusions de l’expertise du SEM. La Cour de céans ne saurait non plus se fonder sur les rapports succincts et peu étayés établis par le Dr B______ et le Prof. C______. Partant, les pièces au dossier ne permettent pas de confirmer que, depuis mai 2018, la recourante présente, au degré de la vraisemblance prépondérante, une capacité de travail de 80% dans une activité adaptée. Au vu des carences de l’expertise du Dr G______ et du fait que les répercussions des éventuelles autres atteintes n’ont pas du tout été analysées par l’intimé, un renvoi de la cause pour instruction complémentaire s’impose.</w:t>
      </w:r>
    </w:p>
    <w:p>
      <w:r>
        <w:rPr>
          <w:b/>
        </w:rPr>
        <w:t>E. 8</w:t>
      </w:r>
    </w:p>
    <w:p>
      <w:r>
        <w:t>Il convient donc d’admettre partiellement le recours, d’annuler la décision litigieuse, de renvoyer la cause à l’intimé pour qu'il complète l’instruction du dossier, en interrogeant les médecins traitants et en mettant en œuvre une nouvelle</w:t>
      </w:r>
    </w:p>
    <w:p>
      <w:r>
        <w:t>A/180/2024 - 13/14 - expertise, puis se prononce à nouveau sur le droit de la recourante à des prestations de l'assurance-invalidité. La recourante, qui obtient partiellement gain de cause et est assistée d’un avocat, a droit à des dépens, fixés à CHF 2'000.- (art. 61 let. g LPGA). La procédure en matière d'assurance-invalidité n'étant pas gratuite (art. 69 al. 1bis LAI), un émolument de CHF 200.- est mis à la charge de l'intimé.</w:t>
      </w:r>
    </w:p>
    <w:p>
      <w:r>
        <w:t>***</w:t>
      </w:r>
    </w:p>
    <w:p>
      <w:r>
        <w:t>A/180/2024 - 14/14 -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