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ATAS/155/2025 vom 13. März 2025</w:t>
      </w:r>
    </w:p>
    <w:p>
      <w:r>
        <w:t>GE Cour de justice, 2025-03-13, FR</w:t>
      </w:r>
    </w:p>
    <w:p>
      <w:r>
        <w:rPr>
          <w:b/>
        </w:rPr>
        <w:t xml:space="preserve">Quelle: </w:t>
      </w:r>
      <w:r>
        <w:t>https://mcp.opencaselaw.ch/entscheid/ge_gerichte_ATAS_155_2025</w:t>
      </w:r>
    </w:p>
    <w:p>
      <w:r>
        <w:t>FR: GE_GERICHTE ATAS/155/2025 du 13 mars 2025</w:t>
      </w:r>
    </w:p>
    <w:p>
      <w:r>
        <w:t>IT: GE_GERICHTE ATAS/155/2025 del 13 marzo 2025</w:t>
      </w:r>
    </w:p>
    <w:p>
      <w:pPr>
        <w:pStyle w:val="Heading2"/>
      </w:pPr>
      <w:r>
        <w:t>Erwägungen</w:t>
      </w:r>
    </w:p>
    <w:p>
      <w:r>
        <w:rPr>
          <w:b/>
        </w:rPr>
        <w:t>E. 1</w:t>
      </w:r>
    </w:p>
    <w:p>
      <w:r>
        <w:t>La compétence de la Cour de céans, la recevabilité du recours et le droit applicable ont été examinés dans l’ordonnance d’expertise du 5 octobre 2023 (ATAS/746/2023), de sorte qu’il n’y a pas lieu d’y revenir.</w:t>
      </w:r>
    </w:p>
    <w:p>
      <w:r>
        <w:rPr>
          <w:b/>
        </w:rPr>
        <w:t>E. 2</w:t>
      </w:r>
    </w:p>
    <w:p>
      <w:r>
        <w:t>Le litige porte sur le bien-fondé du refus de l’intimé d’accorder une rente d’invalidité au recourant.</w:t>
      </w:r>
    </w:p>
    <w:p>
      <w:r>
        <w:rPr>
          <w:b/>
        </w:rPr>
        <w:t>E. 3.1.1</w:t>
      </w:r>
    </w:p>
    <w:p>
      <w:r>
        <w:t>A teneur de l’art. 28 al. 1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A/9/2021 - 5/12 - Enfin,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3.1.2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w:t>
      </w:r>
    </w:p>
    <w:p>
      <w:r>
        <w:t>A/9/2021 - 6/12 - ou le DSM-IV (ATF 143 V 409 consid. 4.5.2 ; ATF 141 V 281 consid. 2.1 et 2.1.1; ATF 130 V 396 consid. 5.3 et 6). A l’ATF 145 V 215, le Tribunal fédéral a modifié sa pratique lors de l'examen du droit à une rente d'invalidité en cas de toxicomanie.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également à la toxicomanie. A noter que lesdits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3.2.2</w:t>
      </w:r>
    </w:p>
    <w:p>
      <w:r>
        <w:t>Dans la Classification statistique internationale des Maladies et Problème de Santé connexes (CIM-10), les troubles liés à la dépendance sont répertoriés dans le chapitre V (« Troubles mentaux et comportementaux »), où ils sont regroupés sous le titre « Troubles mentaux et comportementaux liés à des substances psychoactives » (F10 à F19 ; cf. ATF 145 V 215 consid. 5.2.1). Le syndrome de dépendance, diagnostiqué par l’expert psychiatre, est défini par la médecine comme un ensemble de phénomènes comportementaux, cognitifs et physiologiques survenant à la suite d’une consommation répétée d’une substance psychoactive, typiquement associée à un désir puissant de prendre la drogue, à une difficulté à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(cf. définition dans la CIM-10 et ATF 145 V 215 consid. 5.2.1). D'un point de vue médical, il s'agit clairement d'un phénomène pathologique, dont les effets fonctionnels ne disparaissent pas nécessairement avec un sevrage hypothétique de la substance. De plus, la faisabilité et la pertinence d'un tel sevrage, en particulier dans les cas de dépendance à long terme, ne sont pas toujours affirmées (ATF 145 V 215 consid. 5.2.1).</w:t>
      </w:r>
    </w:p>
    <w:p>
      <w:r>
        <w:rPr>
          <w:b/>
        </w:rPr>
        <w:t>E. 3.2.3</w:t>
      </w:r>
    </w:p>
    <w:p>
      <w:r>
        <w:t>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w:t>
      </w:r>
    </w:p>
    <w:p>
      <w:r>
        <w:rPr>
          <w:b/>
        </w:rPr>
        <w:t>E. 4</w:t>
      </w:r>
    </w:p>
    <w:p>
      <w:r>
        <w:t>A/9/2021 - 7/12 -</w:t>
      </w:r>
    </w:p>
    <w:p>
      <w:r>
        <w:rPr>
          <w:b/>
        </w:rPr>
        <w:t>E. 4.1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4.3</w:t>
      </w:r>
    </w:p>
    <w:p>
      <w:r>
        <w:t>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w:t>
      </w:r>
    </w:p>
    <w:p>
      <w:r>
        <w:t>A/9/2021 - 8/12 -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suite à la demande de prestations du 19 octobre 2018, l’intimé a mandaté le CEMEDEX pour expertise bidisciplinaire, psychiatrique et rhumatologique. Les experts étant arrivés à la conclusion que le recourant était capable d’exercer à 100% tant son activité habituelle qu’une activité adaptée, l’OAI a rejeté la demande de prestations. Sur recours, considérant qu’il existait des doutes s’agissant du volet psychiatrique, la Cour de céans a ordonné une expertise judiciaire. Dans son rapport du 14 avril 2024, l’expert a retenu plusieurs diagnostics incapacitants en lien avec la toxicodépendance, ainsi qu’un syndrome douloureux somatoforme persistant. En raison de ces atteintes et des limitations fonctionnelles qu’elles induisaient, il a estimé que la capacité de travail de l’assuré avait été nulle à partir de 2018 et de 30% dès juin 2019, en milieu adapté, soit dans une activité en solitaire, ritualisée et simple, sans besoins attentionnels et mnésiques importants. L’expert judiciaire a encore apporté des précisions lors de son audition, le 20 juin 2024. Compte tenu du rapport établi le 14 avril 2024 et des éléments apportés lors de l’audition du 20 juin 2024, l’OAI, suivant en cela l’avis du SMR, a finalement admis une incapacité de travail totale, dans toute activité, dès début 2018, puis une capacité de travail de 30% dans toute activité, dès mai 2019. Pour sa part, le recourant a conclu au versement d’une rente entière dès le 1er avril 2019 au plus tard.</w:t>
      </w:r>
    </w:p>
    <w:p>
      <w:r>
        <w:t>A/9/2021 - 9/12 -</w:t>
      </w:r>
    </w:p>
    <w:p>
      <w:r>
        <w:rPr>
          <w:b/>
        </w:rPr>
        <w:t>E. 6.2</w:t>
      </w:r>
    </w:p>
    <w:p>
      <w:r>
        <w:t>Quand bien même les parties s’accordent sur l’existence d’une incapacité de travail à compter du 1er janvier 2018, la Cour de céans doit tout de même s’assurer que le rapport d’expertise répond bien aux réquisits jurisprudentiels en matière probante. Tel est bien le cas. En effet, sur le plan formel, l’expert a examiné le recourant à trois reprises les 5 et 14 février 2024, ainsi que le 7 mars 2024. Il a ensuite complété son examen clinique par un examen neuropsychologique en date du 12 février 2024, une IRM cérébrale réalisée le 4 mars 2024 et des dosages plasmatiques effectués le 27 mars 2024. L’expert a également étudié l’ensemble du dossier médical, qu’il a résumé de manière détaillée et complété en prenant contact avec le psychiatre traitant. Le Dr N______ a ensuite établi une anamnèse particulièrement fouillée, décrit la situation du recourant et recueilli ses plaintes. Enfin, il a bien motivé ses conclusions. Sur le fond, le Dr N______ a expliqué que le syndrome douloureux somatoforme était de sévérité faible, épargnant une grande partie des activités de la vie quotidienne ainsi que la vie sociale et affective. Son impact concernait essentiellement le sentiment de fatigue chronique et les troubles du sommeil. Les douleurs n’empêchaient toutefois pas le recourant de vaquer à ses occupations. Aussi, ce trouble était faiblement invalidant. Le syndrome de dépendance au cannabis était sévère et chronique. Cette dépendance augmentait la passivité, la tendance à la non-exposition et péjorait les capacités d’attention et de concentration ainsi que les capacités exécutives et de mémoire verbale. Enfin, le trouble résiduel en lien avec l’utilisation au long cours de substances psychoactives multiples touchant la cognition était de sévérité légère à moyenne et touchait l’attention, certaines fonctions exécutives (capacités de planification et d’organisation), la mémoire verbale et les fonctions visuo-constructives mais surtout la cognition sociale, laquelle était altérée de manière très significative. Le Dr N______ a ensuite indiqué que c’était l’atteinte neuropsychologique qui avait un effet très clairement invalidant. L’atteinte cognitive était significative et complexe, mais en partie réversible en cas de diminution ou d’arrêt de la prise de cannabis. L’expert psychiatre s’est également prononcé sur les ressources personnelles du recourant et le contexte social, expliquant que sur le plan psychique, il disposait de ressources qui pouvaient être exploitées dans une activité adaptée. Cela étant, sur le plan cognitif, la réalité était différente. L’IRM cérébrale montrait une structure cérébrale préservée, ce qui excluait une piste neurodégénérative ou vasculaire précoce. Dans ce contexte, la seule explication plausible était l’augmentation des concentrations de THC avec une prise régulière soutenue à visée anxiolytique. Sur le plan des ressources cognitives, les capacités du recourant était très clairement amoindries, notamment en matière de cognition sociale, domaine dans lequel il y avait une atteinte de sévérité moyenne, qui avait</w:t>
      </w:r>
    </w:p>
    <w:p>
      <w:r>
        <w:t>A/9/2021 - 10/12 - un caractère séquellaire en lien avec ses années de poly-toxicodépendance. Ce déficit impactait la relation dyadique et pouvait rendre l’intégration dans un milieu ordinaire très difficile, voire impossible. Enfin, l’expert a examiné la cohérence entre les diagnostics et le comportement de l’assuré. Il a ainsi considéré que le tableau était cohérent, sans signes de majoration, tant sur le plan clinique que neuropsychologique. Eu égard à ce qui précède, le Dr N______ a retenu une capacité de travail nulle en économie libre entre 2018 et mai 2019. Depuis juin 2019, elle était de 30% dans un milieu adapté, soit une activité en solitaire, ritualisée et simple, sans besoins attentionnels et mnésiques importants. L’arrêt ou la diminution substantielle du THC pouvait permettre d’arriver à une capacité de travail de 60% dans une activité adaptée. L’appréciation faite par le Dr N______ de la situation médicale du recourant est claire et convaincante, de sorte que c’est à juste titre que l’intimé et le SMR ont finalement admis une incapacité de travail oscillant entre 70 et 100% dès le 1er janvier 2018 et ce, même dans une activité adaptée, laquelle doit également respecter les limitations fonctionnelles retenues par le Dr G______.</w:t>
      </w:r>
    </w:p>
    <w:p>
      <w:r>
        <w:rPr>
          <w:b/>
        </w:rPr>
        <w:t>E. 7</w:t>
      </w:r>
    </w:p>
    <w:p>
      <w:r>
        <w:t>mars 2019 consid. 5.1 ; 9C_692/2017 du 12 mars 2018 consid. 5 et les références).</w:t>
      </w:r>
    </w:p>
    <w:p>
      <w:r>
        <w:rPr>
          <w:b/>
        </w:rPr>
        <w:t>E. 7.1</w:t>
      </w:r>
    </w:p>
    <w:p>
      <w:r>
        <w:t>Il convient de rappeler que la méthode générale de comparaison des revenus s'applique aux personnes qui ont dû interrompre leur activité lucrative pour cause de maladie et auraient continué à exercer cette activité si elles n'étaient pas invalides (Michel VALTERIO, Commentaire de la loi fédérale de l'assurance- invalidité, 2018, n° 18 ad Art. 28a). Selon cette méthode,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Un taux d'invalidité correspondant à l'incapacité de travail estimée par le médecin ne peut être admis qu'à titre exceptionnel. Cela peut être le cas lors d'une incapacité de travail totale de l'assuré ou lorsque celui-ci présente une entière capacité de travail dans toute activité lucrative. De même,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(arrêts du Tribunal fédéral des assurances I 45/06 du 5 mars 2007 consid. 4.2.2 ; I 43/05 du 30 juin 2006 consid. 5.2 et I 1/03 du 15 avril 2003 consid. 5.2 ; Michel VALTERIO, Droit de l'assurance-vieillesse et survivants et de l'assurance-invalidité, 2011, n° 2035). Même s'il n'est pas indispensable de déterminer avec précision les salaires de références, il n'en demeure pas moins que, dans cette situation, l'évaluation de l'invalidité repose sur des données</w:t>
      </w:r>
    </w:p>
    <w:p>
      <w:r>
        <w:t>A/9/2021 - 11/12 - statistiques. Par conséquent, une réduction supplémentaire du revenu d'invalide (abattement) est possible en fonction des circonstances personnelles et professionnelles du cas particulier (arrêts du Tribunal fédéral 9C_842/2018 du</w:t>
      </w:r>
    </w:p>
    <w:p>
      <w:r>
        <w:rPr>
          <w:b/>
        </w:rPr>
        <w:t>E. 7.2</w:t>
      </w:r>
    </w:p>
    <w:p>
      <w:r>
        <w:t>En l'espèce, c’est une activité de réinsertion que le recourant exerçait entre 2012 et 2018, pour laquelle il ne percevait pas de salaire. Dans ces circonstances, il convient de déterminer les revenus avec et sans invalidité en se référant aux mêmes salaires statistiques. Il est donc superflu de les chiffrer avec exactitude et le degré d'invalidité se confond avec celui de l'incapacité de travail. Par conséquent, entre le 1er janvier 2018 et le 31 mai 2019, le degré d'invalidité a été de 100% compte tenu d’une incapacité de travail totale. Dès le 1er juin 2019, l’incapacité de travail a été de 70%, ce qui correspond à une invalidité du même pourcentage. A l’expiration du délai d’attente d’une année prévu par l’art. 28 al. 1 let. b LAI, le 1er janvier 2019, le recourant était invalide à 100%. Toutefois, à cette date, cela ne faisait pas six mois que la demande de prestations avait été déposée. Compte tenu de ce délai (art. 29 LAI), le droit à la rente ne peut prendre naissance qu’à partir du 1er avril 2019, soit six mois après le dépôt de la demande, en octobre 2018. Dès lors que le degré d’invalidité du recourant oscille entre 70 et 100%, c’est une rente entière qui doit lui être accordée dès le 1er avril 2019 (cf. art. 28 al. 2 LAI).</w:t>
      </w:r>
    </w:p>
    <w:p>
      <w:r>
        <w:rPr>
          <w:b/>
        </w:rPr>
        <w:t>E. 8</w:t>
      </w:r>
    </w:p>
    <w:p>
      <w:r>
        <w:t>Eu égard à ce qui précède, le recours est admis. La décision du 3 décembre 2020 est réformée et le recourant est mis au bénéfice d’une rente entière dès le 1er avril 2019. Le recourant obtenant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A/9/2021 - 12/12 -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