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ATAS/155/2020 vom 26. Februar 2020</w:t>
      </w:r>
    </w:p>
    <w:p>
      <w:r>
        <w:t>GE Cour de justice, 2020-02-26, FR</w:t>
      </w:r>
    </w:p>
    <w:p>
      <w:r>
        <w:rPr>
          <w:b/>
        </w:rPr>
        <w:t xml:space="preserve">Quelle: </w:t>
      </w:r>
      <w:r>
        <w:t>https://mcp.opencaselaw.ch/entscheid/ge_gerichte_ATAS_155_2020</w:t>
      </w:r>
    </w:p>
    <w:p>
      <w:r>
        <w:t>FR: GE_GERICHTE ATAS/155/2020 du 26 février 2020</w:t>
      </w:r>
    </w:p>
    <w:p>
      <w:r>
        <w:t>IT: GE_GERICHTE ATAS/155/2020 del 26 febbraio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3</w:t>
      </w:r>
    </w:p>
    <w:p>
      <w:r>
        <w:t>Le litige porte sur le droit du recourant à une rente entière d’invalidité.</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t>A/2418/2019 - 11/21 -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w:t>
      </w:r>
    </w:p>
    <w:p>
      <w:r>
        <w:t>A/2418/2019 - 12/21 -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w:t>
      </w:r>
    </w:p>
    <w:p>
      <w:r>
        <w:t>A/2418/2019 - 13/21 -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9</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w:t>
      </w:r>
    </w:p>
    <w:p>
      <w:r>
        <w:t>A/2418/2019 - 14/21 -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w:t>
      </w:r>
    </w:p>
    <w:p>
      <w:r>
        <w:t>A/2418/2019 - 15/21 - comme la mieux appropriée (ATF 126 V 75 consid. 6; ATF 123 V 150 consid. 2 et les références; arrêt du Tribunal fédéral 8C_337/2009 du 18 février 2010 consid. 7.5). Bien que l'âge soit inclus dans le cercle des critères déductibles depuis la jurisprudence de l'ATF 126 V 75 – laquelle continue de s'appliquer (cf. arrêt du Tribunal fédéral 9C_470/2017 du 29 juin 2018 consid. 4.2) – il ne suffit pas de constater qu'un assuré a dépassé la cinquantaine au moment déterminant du droit à la rente pour que cette circonstance justifie de procéder à un abattement. Encore récemment, le Tribunal fédéral a rappelé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 du Tribunal fédéral 8C_227/2017 précité consid. 5). Il a considéré qu'un assuré ayant accompli plusieurs missions temporaires, alors qu'il était inscrit au chômage consécutivement à la cessation d'activité de son ancien employeur, disposait d'une certaine capacité d'adaptation sur le plan professionnel susceptible de compenser les désavantages compétitifs liés à son âge (59 ans au moment déterminant), surtout dans le domaine des emplois non qualifiés qui sont, en règle générale, disponibles indépendamment de l'âge de l'intéressé sur le marché équilibré du travail (arrêt du Tribunal fédéral 8C_227/2017 du 17 mai 2018 consid. 5; voir aussi arrêts du Tribunal fédéral 8C_403/2017 du 25 août 2017 consid. 4.4.1 et 8C_805/2016 du 22 mars 2017 consid. 3.4.3). À l'inverse, dans un autre arrêt récent rendu en matière d'assurance-invalidité (arrêt du Tribunal fédéral 9C_470/2017 du 29 juin 2018 consid. 4.2), le Tribunal fédéral a retenu un taux d'abattement de 10% dans le cas d'un assuré âgé de 61 ans qui, durant de longues années, avait accompli des activités saisonnières dans le domaine de la plâtrerie et dont le niveau de formation était particulièrement limité (arrêt du Tribunal fédéral 8C_103/2018 du 25 juillet 2018 consid. 5.2). En revanche, il a contesté un abattement dans le cas d’un assuré âgé de 55 ans au motif que ses excellentes qualifications personnelles, professionnelles et académiques constituaient un avantage indéniable en terme de facilité d’intégration sur le marché du travail (arrêt du Tribunal fédéral 9C_375/2019 du 25 septembre 2019 consid. 7.3). Le Tribunal fédéral a déjà eu l'occasion de constater que le travail à plein temps n'est pas nécessairement mieux rémunéré que le travail à temps partiel; dans certains domaines d'activités, les emplois à temps partiel sont en effet répandus et répondent à un besoin de la part des employeurs, qui sont prêts à les rémunérer en conséquence (ATF 126 V 75 consid. 5a/cc; cf. aussi arrêt du Tribunal fédéral 8C_49/2018 du 8 novembre 2018 consid. 6.2.2.2). Cela étant, si selon les statistiques, les femmes exerçant une activité à temps partiel ne perçoivent souvent pas un revenu moins élevé proportionnellement à celles qui sont occupées à plein temps (cf., p. ex., arrêt du Tribunal fédéral 9C_751/2011 du 30 avril 2012 consid.</w:t>
      </w:r>
    </w:p>
    <w:p>
      <w:r>
        <w:t>A/2418/2019 - 16/21 - 4.2.2), la situation se présente différemment pour les hommes; le travail à temps partiel peut en effet être synonyme d'une perte de salaire pour les travailleurs à temps partiel de sexe masculin (arrêt du Tribunal fédéral 8C_805/2016 du 22 mars 2017 consid. 3.2). Une unilatéralité de fait ou une restriction de la main dominante peut justifier un abattement compris entre 20% et 25% (arrêts du Tribunal fédéral 9C_363/2017 du 22 juin 2018 consid. 4.3 et 9C_396/2014 du 15 avril 2015 consid. 5.2).</w:t>
      </w:r>
    </w:p>
    <w:p>
      <w:r>
        <w:rPr>
          <w:b/>
        </w:rPr>
        <w:t>E. 10</w:t>
      </w:r>
    </w:p>
    <w:p>
      <w:r>
        <w:t>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est adapté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w:t>
      </w:r>
    </w:p>
    <w:p>
      <w:r>
        <w:rPr>
          <w:b/>
        </w:rPr>
        <w:t>E. 12</w:t>
      </w:r>
    </w:p>
    <w:p>
      <w:r>
        <w:t>Selon la jurisprudence, le résultat exact du calcul du degré d’invalidité doit être arrondi au chiffre en pour cent supérieur ou inférieur selon les règles applicables en mathématiques. En cas de résultat jusqu'à x,49%, il faut arrondir à x % et pour des valeurs à partir de x,50%, il faut arrondir à x+1 % (ATF 130 V 121 consid. 3.2).</w:t>
      </w:r>
    </w:p>
    <w:p>
      <w:r>
        <w:rPr>
          <w:b/>
        </w:rPr>
        <w:t>E. 13</w:t>
      </w:r>
    </w:p>
    <w:p>
      <w:r>
        <w:t>En l’espèce, l’intimé a fondé sa décision sur un avis médical établi par le SMR le 8 août 2018, qui retenait une capacité de travail du recourant de 50% dans une activité adaptée à ses limitations fonctionnelles, sur la base des rapports de son médecin traitant, le Dr D______. Celui-ci avait en particulier indiqué, le 23 octobre 2017, que l’assuré pourrait peut-être avoir une activité adaptée à son handicap à la demi-journée, soit une activité compatible avec sa mauvaise vision, sans travail à l’écran ou bref et sans exposition aux poussières. Le 19 novembre 2018, le Dr D______ a confirmé une capacité médico-théorique de quatre heures par jour en position assise. Aucun avis médical ne remet en cause l’appréciation de la capacité de travail retenue par le Dr D______, si ce n’est ce même médecin, qui a émis des doutes sur la réelle capacité du recourant à exercer une activité professionnelle. Le Dr D______ a en effet indiqué, notamment, le 19 novembre 2018, que si l’assuré pourrait travailler quatre heures par jour en position assise, c’était vraiment théorique, car ce serait un travail sur un ordinateur, ce dont il n’était pas capable. Les doutes émis par le Dr D______ concernent la capacité du recourant à retrouver un emploi concrètement sur le marché ordinaire de l’emploi. Or, cette question ne se pose pas dans le cadre de l’assurance-invalidité, sauf exception non réalisée en l’espèce (assuré âgé, notamment). Quand bien même le recourant souffre d’un grave trouble de la vision, l’on peut partir du postulat qu'un marché du travail équilibré est en mesure de lui offrir des postes pouvant être occupés avec un tel handicap, vu la jurisprudence précitée. Le recourant n’apparaît pas démuni de toute compétence, mais semble au contraire disposer de ressources qui pourraient lui permettre de trouver, à tout le moins, une activité simple et répétitive adaptée à ses limitations, et peut-être, une activité correspondant à ses compétences musicales, pour autant qu’il s’en donne les moyens. En conclusion, c’est à juste titre que l’intimé a retenu dans la décision querellée une capacité de travail de 50% dans une activité adaptée. S’agissant du calcul de taux d’invalidité, l’intimé n’a pas discuté la prise en compte d’un abattement supplémentaire, qui pourrait éventuellement se justifier, vu l’activité à temps partiel, qui est susceptible d'avoir une influence négative sur le salaire chez les hommes et l’éloignement du marché du travail de l’assuré durant plusieurs années. Si l’on retenait un abattement supplémentaire, il ne dépasserait certainement pas les 15% dans le cas du recourant, vu les critères en la matière, ce qui ne lui ouvrirait pas le droit à une rente d’invalidité de plus de 50%, auquel il a déjà droit. La décision querellée doit ainsi être confirmée.</w:t>
      </w:r>
    </w:p>
    <w:p>
      <w:r>
        <w:t>A/2418/2019 - 20/21 -</w:t>
      </w:r>
    </w:p>
    <w:p>
      <w:r>
        <w:rPr>
          <w:b/>
        </w:rPr>
        <w:t>E. 14</w:t>
      </w:r>
    </w:p>
    <w:p>
      <w:r>
        <w:t>Infondé le recours sera rejeté.</w:t>
      </w:r>
    </w:p>
    <w:p>
      <w:r>
        <w:rPr>
          <w:b/>
        </w:rPr>
        <w:t>E. 15</w:t>
      </w:r>
    </w:p>
    <w:p>
      <w:r>
        <w:t>Un émolument de CHF 200.- sera mis à la charge du recourant (art. 69 al. 1bis LAI).</w:t>
      </w:r>
    </w:p>
    <w:p>
      <w:r>
        <w:t>A/2418/2019 - 21/21 -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