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ATAS/154/2026 vom 19. Februar 2026</w:t>
      </w:r>
    </w:p>
    <w:p>
      <w:r>
        <w:t>GE Cour de justice, 2026-02-19, FR</w:t>
      </w:r>
    </w:p>
    <w:p>
      <w:r>
        <w:rPr>
          <w:b/>
        </w:rPr>
        <w:t xml:space="preserve">Quelle: </w:t>
      </w:r>
      <w:r>
        <w:t>https://mcp.opencaselaw.ch/entscheid/ge_gerichte_ATAS_154_2026</w:t>
      </w:r>
    </w:p>
    <w:p>
      <w:r>
        <w:t>FR: GE_GERICHTE ATAS/154/2026 du 19 février 2026</w:t>
      </w:r>
    </w:p>
    <w:p>
      <w:r>
        <w:t>IT: GE_GERICHTE ATAS/154/2026 del 19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A/421/2025 - 6/11 -</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se limite au calcul du degré d’invalidité à compter du 1er mars 2024, plus particulièrement au montant à retenir à titre de revenu avant invalidité. Ni les atteintes à la santé, ni la totale capacité de l’assuré à exercer une activité adaptée à ses limitations, ni l’octroi d’une rente entière entre le 1er juin 2021 et le 29 février 2024 ne sont contestés.</w:t>
      </w:r>
    </w:p>
    <w:p>
      <w:r>
        <w:rPr>
          <w:b/>
        </w:rPr>
        <w:t>E. 3</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c’est la question de la quotité de la rente d’invalidité à compter du 1er mars 2024 qui est litigieuse, dès lors, les dispositions légales applicables seront citées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La notion d'invalidité, au sens du droit des assurances sociales, est une notion économique et non médicale ; ce sont les conséquences économiques objectives</w:t>
      </w:r>
    </w:p>
    <w:p>
      <w:r>
        <w:t>A/421/2025 - 7/11 -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4.3</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rPr>
          <w:b/>
        </w:rPr>
        <w:t>E. 4.4</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4.5</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w:t>
      </w:r>
    </w:p>
    <w:p>
      <w:r>
        <w:t>A/421/2025 - 8/11 -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4.6</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4.7</w:t>
      </w:r>
    </w:p>
    <w:p>
      <w:r>
        <w:t>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w:t>
      </w:r>
    </w:p>
    <w:p>
      <w:r>
        <w:t>A/421/2025 - 9/11 -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 B 80/01 du 17 octobre 2003 consid. 5.2.2) ou lorsque l’assuré a quitté son emploi pour d’autres motifs que son état de santé (cf. arrêt du Tribunal fédéral 8C_537/2023 du 17 avril 2024 consid. 4.2.3 et 5.1 et les références), ou dans les cas où le temps écoulé depuis l'obtention du dernier salaire et la naissance éventuelle du droit à la rente est important (par ex. huit ans : arrêt du Tribunal fédéral 9C_504/2023 du 28 février 2024 consid. 5.1.2 et la référence).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Les activités antérieures sont déterminantes pour fixer la valeur statistique précise. Il faut établir quel serait le revenu d’une personne sans atteinte à sa santé physique, psychique ou mentale, au bénéfice de la même formation et placée dans une situation professionnelle équivalente ou analogue (cf. art. 26 al 4 RAI ; OFAS, CIRAI, ch. 3314), sauf si l’assuré n’a jamais exercé la profession concernée ou ne l’a plus fait depuis de nombreuses années (OFAS, CIRAI, ch. 3315).</w:t>
      </w:r>
    </w:p>
    <w:p>
      <w:r>
        <w:rPr>
          <w:b/>
        </w:rPr>
        <w:t>E. 4.8</w:t>
      </w:r>
    </w:p>
    <w:p>
      <w:r>
        <w:t>La jurisprudence du Tribunal fédéral concernant l’utilisation des salaires statistiques reste pertinente (OFAS, rapport explicatif, ad art. 25 al. 3, p. 45). Il convient de se fonder, en règle générale, sur les valeurs médianes indiquées dans la table ESS TA1_tirage_skill_level. Il y a lieu de déterminer d’abord si ce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w:t>
      </w:r>
    </w:p>
    <w:p>
      <w:r>
        <w:t>A/421/2025 - 10/11 - formation, de l’expérience et de la situation professionnelles de l’assuré. Le salaire, indépendant de l’âge et tenant compte du sexe (ATF 129 V 408 consid. 3.1.2), doit être adapté au temps de travail usuel dans les entreprises de la division économique concernée et, le cas échéant, indexé selon l’évolution de l’indice suisse des salaires nominaux au sein de la branche pour l’année déterminante (cf. art. 25 al. 3 et 4 ; 26 al. 4 RAI ; OFAS, CIRAI, ch. 3207ss ; cf. arrêt du Tribunal fédéral 8C_276/2021 du 2 novembre 2021). Si l’on ne tient pas compte d’une branche en particulier, le total de la durée normale du travail dans les entreprises ou l’évolution des salaires nominaux de toutes les divisions économiques est déterminant (OFAS, CIRAI, ch. 3212 et 3213). 5. En l’espèce, l’intimé a admis, compte tenu de la formation suivie par le recourant dans le domaine du sport, que, sans atteinte à sa santé, il aurait exercé dans ce domaine, même si, dans les faits, il ne l’a jamais fait entre septembre 2018 – date à laquelle il a terminé sa formation – et janvier 2020 – date de la survenance de l’invalidité. Conformément à la jurisprudence rappelée supra, l’intimé s’est donc référé à l’ESS. Le revenu avant invalidité a ainsi été établi à CHF 69'993.-, en se référant à l’ESS 2022, TA1_tirage_skill_level, ligne 93 (activités récréatives), niveau 2 (5’437.- CHF/mois en 2022 pour 40h./sem. = CHF 5’664.- CHF/mois en 2022 pour 41,7h./sem. = 67'964.- CHF/an en 2022 = CHF 69’993- en 2024 ; cf. pce 114 OAI). Le recourant soutient pour sa part qu’il conviendrait de retenir un montant de CHF 98'384.-. Il tente de substituer ce montant à celui ressortant des statistiques, en produisant deux documents dépourvus de toute pertinence au vu de la jurisprudence constante, à savoir : un extrait du dossier d’une société de recrutement, d’une part, une référence au site « lohncheck.ch », d’autre part. Or, dans la mesure où le recourant a obtenu gain de cause auprès de l’intimé et que ce dernier a renoncé à se fonder sur le dernier revenu concrètement réalisé avant la survenance de l’invalidité, il convient de se référer aux salaires statistiques visés à l’art. 25 al. 3 RAI pour une personne ayant la même formation et une situation professionnelle correspondante (art. 26 al. 4 RAI) et non aux revenus suggérés par le recourant sur la base de documents dénués de toute pertinence aux yeux de la jurisprudence. Ainsi que le Tribunal fédéral l’a indiqué à maintes et réitérées reprises, la jurisprudence admet, de manière constante, que l'évaluation de l'invalidité repose sur des données statistiques dans certaines circonstances et que le principe constitutionnel de l'égalité de traitement commande alors de recourir aux salaires statistiques ressortant de l'ESS, sans tenir compte de données salariales régionales, et à plus forte raison cantonales (arrêt 9C_535/2019 du 31 octobre 2019 consid. 4</w:t>
      </w:r>
    </w:p>
    <w:p>
      <w:r>
        <w:t>A/421/2025 - 11/11 - et les arrêts cités). Il en découle qu’a fortiori, le recours à des données telles que celles proposées par le recourant est d’autant moins admissible. Eu égard aux considérations qui précèdent, le recours, manifestement infondé en tant qu’il conteste le montant retenu à titre de revenu avant invalidité, est rejeté.</w:t>
      </w:r>
    </w:p>
    <w:p>
      <w:r>
        <w:t>*** PAR CES MOTIFS, LA CHAMBRE DES ASSURANCES SOCIALES : Statuant À la forme :</w:t>
      </w:r>
    </w:p>
    <w:p>
      <w:r>
        <w:rPr>
          <w:b/>
        </w:rPr>
        <w:t>E. 9</w:t>
      </w:r>
    </w:p>
    <w:p>
      <w:r>
        <w:t>avril 2001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