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ATAS/154/2023 vom 9. März 2023</w:t>
      </w:r>
    </w:p>
    <w:p>
      <w:r>
        <w:t>GE Cour de justice, 2023-03-09, FR</w:t>
      </w:r>
    </w:p>
    <w:p>
      <w:r>
        <w:rPr>
          <w:b/>
        </w:rPr>
        <w:t xml:space="preserve">Quelle: </w:t>
      </w:r>
      <w:r>
        <w:t>https://mcp.opencaselaw.ch/entscheid/ge_gerichte_ATAS_154_2023</w:t>
      </w:r>
    </w:p>
    <w:p>
      <w:r>
        <w:t>FR: GE_GERICHTE ATAS/154/2023 du 9 mars 2023</w:t>
      </w:r>
    </w:p>
    <w:p>
      <w:r>
        <w:t>IT: GE_GERICHTE ATAS/154/2023 del 9 marzo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à la loi fédérale sur l’assurance- accidents, du 20 mars 1981 (LAA - RS 832.20). Sa compétence pour juger du cas d’espèce est ainsi établie. 2. À teneur de l’art. 1 al. 1 LAA, les dispositions de la LPGA s’appliquent à l’assurance-accidents, à moins que la loi n’y déroge expressément. 3. Le 1er janvier 2021 est entrée en vigueur la modification du 21 juin 2019 de la LPGA applicable au cas d’espèce. 4. Le délai de recours est de trente jours (art. 56 LPGA ; art. 62 al. 1 de la loi sur la procédure administrative du 12 septembre 1985 [LPA - E 5 10]). Interjeté dans la forme et le délai prévus par la loi, le recours est recevable. 5. Le litige porte sur le bien-fondé de la décision de l’intimée de refuser la prise en charge d’une opération chirurgicale de la main gauche du recourant.</w:t>
      </w:r>
    </w:p>
    <w:p>
      <w:r>
        <w:rPr>
          <w:b/>
        </w:rPr>
        <w:t>E. 6.1</w:t>
      </w:r>
    </w:p>
    <w:p>
      <w:r>
        <w:t>Selon l’art. 6 al. 1 LAA, les prestations d’assurance sont allouées en cas d’accident professionnel, d’accident non professionnel et de maladie professionnelle. Aux termes de l’art. 10 al. 1 LAA, l’assuré a droit au traitement médical approprié des lésions résultant de l’accident. Conformément à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À teneur de l’art. 18 al. 1 LAA, si l’assuré est invalide (art. 8 LPGA) à 10% au moins par suite d’un accident, il a droit à une rente d’invalidité, pour autant que l’accident soit survenu avant l’âge ordinaire de la retraite. L’art. 19 al. 1 LAA précise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w:t>
      </w:r>
    </w:p>
    <w:p>
      <w:r>
        <w:rPr>
          <w:b/>
        </w:rPr>
        <w:t>E. 6.2</w:t>
      </w:r>
    </w:p>
    <w:p>
      <w:r>
        <w:t>La notion d’incapacité de travail, à laquelle renvoie l’art. 16 al. 1 LAA comme condition du droit à l’indemnité journalière, est définie à l’art. 6 LPGA. Selon cette disposition, est réputée incapacité de travail toute perte, totale ou partielle, de</w:t>
      </w:r>
    </w:p>
    <w:p>
      <w:r>
        <w:t>A/2808/2022 - 6/13 - l’aptitude de l’assuré à accomplir dans sa profession ou son domaine d’activité le travail qui peut raisonnablement être exigé de lui, si cette perte résulte d’une atteinte à sa santé physique, mentale ou psychique. En cas d’incapacité de travail durable dans l’ancienne profession, l’assuré est tenu, en vertu de son devoir de diminuer le dommage, d’utiliser dans un autre secteur sa capacité fonctionnelle résiduelle. À cet égard, la jurisprudence considère qu’un délai doit être imparti à l’intéressé pour rechercher une activité raisonnablement exigible dans une autre profession ou un autre domaine. La durée de ce délai est généralement de trois à cinq mois selon la pratique applicable en matière d’assurance-maladie (arrêt du Tribunal fédéral 8C_173/2008 du 20 août 2008 consid. 2.3). Cette application en assurance-accidents des délais aménagés à l’assuré en matière d’indemnités journalières pour maladie s’est heurtée à des critiques doctrinales, qui soutiennent qu’un changement de profession ne saurait être exigé avant la stabilisation de l’état de santé de l’assuré (Kaspar GEHRING in KIESER / GEHRING / BOLLINGER [éd.], KVG UVG Kommentar, 2018, n. 3 ad art. 16 LAA ; Markus SCHMID in HÜRZELER / KIESER [éd.], Kommentar zum schweizerischen Sozial-versicherungsrecht, UVG, 2018, n. 11 ad art. 16 LAA). Le droit aux indemnités journalières cesse toutefois au plus tard lors de la stabilisation de l’état médical (Philipp GEERTSEN in HÜRZELER / KIESER [éd.], UVG, Bundesgesetz über die Unfallversicherung, 2018, n. 18 ad art. 19 UVG).</w:t>
      </w:r>
    </w:p>
    <w:p>
      <w:r>
        <w:rPr>
          <w:b/>
        </w:rPr>
        <w:t>E. 6.3</w:t>
      </w:r>
    </w:p>
    <w:p>
      <w:r>
        <w:t>L’art. 19 al. 1 LAA délimite temporellement le droit au traitement médical et le droit à la rente d’invalidité, le moment déterminant étant celui auquel l’état de santé peut être considéré comme relativement stabilisé (arrêt du Tribunal fédéral des assurances U 305/03 du 31 août 2004 consid. 4.1 et les références). Le droit au traitement médical et aux indemnités journalières cesse s’il n’y a plus lieu d’attendre de la continuation du traitement médical une sensible amélioration de l’état de santé de l’assuré et qu’aucune mesure de réadaptation de l’assurance- invalidité n’entre en considération, mais qu’aucune rente n’est allouée parce que l’assuré présente un taux d’invalidité inférieur au seuil de 10% prévu par l’art. 18 al. 1 LAA (ATF 134 V 109 consid. 4.1 ; ATF 133 V 57 consid. 6.6.2). Autrement dit, 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 La loi ne précise pas ce qu’il faut entendre par « une sensible amélioration de l’état de l’assuré » (art. 19 al. 1 LAA). Eu égard au fait que l’assurance-accidents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w:t>
      </w:r>
    </w:p>
    <w:p>
      <w:r>
        <w:t>A/2808/2022 - 7/13 - amélioration significative, un progrès négligeable étant insuffisant (ATF 134 V 109 consid. 4.3). Ce qu’il faut comprendre par sensible amélioration de l’état de santé au sens de l’art. 19 al. 1 LAA se détermine ainsi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Ni la simple possibilité d’un résultat positif d’un autre traitement médical, ni un progrès thérapeutique seulement insignifiant escompté d’autres mesures thérapeutiques comme une cure thermale ne donnent droit à leur mise en œuvre. Il n’y a pas d’amélioration sensible de l’état de santé quand la mesure thérapeutique (p. ex. une cure annuelle) ne fait que soulager momentanément des douleurs occasionnées par un état par ailleurs stationnaire (arrêt du Tribunal fédéral 8C_179/2014 du 16 mars 2015 consid. 4.1). Des troubles chroniques ne font pas obstacle à la reconnaissance d’un état de santé par ailleurs stationnaire (arrêt du Tribunal fédéral 8C_734/2014 du 23 novembre 2015 consid. 4.2). Le simple fait qu’un traitement médical continue à être nécessaire ne suffit pas non plus à exclure la stabilisation de l’état de santé (arrêt du Tribunal fédéral 8C_956/2009 du 9 mars 2010 consid. 4.1.2). Dans le cas d’un assuré dont le chirurgien avait uniquement suggéré la poursuite d’un traitement symptomatique, antalgique et peut-être une physiothérapie, le Tribunal fédéral a confirmé que l’assureur-accidents était fondé à considérer que l’état de santé était stabilisé (arrêt du Tribunal fédéral 8C_589/2018 du 4 juillet 2019 consid. 4.3). Il faut encore préciser que la stabilisation de l’état de santé doit être estimée de manière pronostique, et non à l’aune de constatations rétrospectives (RAMA 3/2005 n° U 557 p. 389 consid. 3.1 ; arrêt du Tribunal fédéral 8C_849/2011 du 29 mai 2012 consid. 3.2).</w:t>
      </w:r>
    </w:p>
    <w:p>
      <w:r>
        <w:rPr>
          <w:b/>
        </w:rPr>
        <w:t>E. 6.4</w:t>
      </w:r>
    </w:p>
    <w:p>
      <w:r>
        <w:t>Aux termes de l’art. 19 al. 3 LAA,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En application de cette disposition, le Conseil fédéral a adopté l’art. 30 de l’ordonnance sur l’assurance-accidents du 20 décembre 1982 (OLAA - RS 832.202), lequel prévoit que lorsqu’on ne peut plus attendre de la continuation du traitement médical une sensible amélioration de l’état de santé de l’assuré, mais que la décision de l’assurance-invalidité concernant la réadaptation professionnelle n’interviendra que plus tard, une rente sera provisoirement allouée dès la fin du traitement médical ; cette rente est calculée sur la base de l’incapacité de gain existant à ce moment-là. Le droit s’éteint dès la naissance du droit à une indemnité journalière de l’assurance-invalidité, ou avec la décision négative de l’AI concernant la réadaptation professionnelle ou encore avec la fixation de la</w:t>
      </w:r>
    </w:p>
    <w:p>
      <w:r>
        <w:t>A/2808/2022 - 8/13 - rente définitive (al. 1). Il s’agit d’une rente transitoire destinée à permettre à l’assureur-accidents qui ne peut encore fixer définitivement le degré d’invalidité de l’assuré, faute de connaître le résultat des mesures de réadaptation entreprises par l’assurance-invalidité, de verser néanmoins une rente d’invalidité à l’assuré sans attendre ce résultat (ATF 116 V 246 consid. 2b et la référence). C’est donc une prestation temporaire, fixée provisoirement, et qui doit être allouée aussi bien pendant le déroulement des mesures de réadaptation de l’assurance-invalidité que pendant la période qui va de la fin du traitement médical jusqu’au moment où décision est prise quant à d’éventuelles mesures de réadaptation, cas échéant à la mise en œuvre de celles-ci (ATF 129 V 283). La décision portant sur l’allocation d’une rente transitoire doit mentionner qu’elle sera remplacée dès l’achèvement de la réadaptation ou s’il est renoncé à sa mise en œuvre. Il s’agit, en effet, d’éviter de faire naître de faux espoirs quant au montant de la rente ordinaire ou « définitive », pour reprendre la terminologie de l’art. 30 OLAA (ATF 139 V 514 consid. 2.3 et les références).</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w:t>
      </w:r>
    </w:p>
    <w:p>
      <w:r>
        <w:t>A/2808/2022 - 9/13 -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w:t>
      </w:r>
    </w:p>
    <w:p>
      <w:r>
        <w:t>A/2808/2022 - 10/13 -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w:t>
      </w:r>
    </w:p>
    <w:p>
      <w:r>
        <w:rPr>
          <w:b/>
        </w:rPr>
        <w:t>E. 9</w:t>
      </w:r>
    </w:p>
    <w:p>
      <w:r>
        <w:t>En l’espèce, le recourant soutient que les troubles de sa main gauche sont toujours en relation de causalité avec l’accident professionnel de 1993 et que l’intervention chirurgicale dont il demande la prise en charge par l’intimée est de nature à améliorer sa capacité résiduelle de travail. De son côté, l’intimée considère que les troubles de la santé concernant la main gauche du recourant sont dus à une maladie génétique dont souffre le recourant et qui aurait, même en l’absence d’accident, eu les mêmes effets sur sa main gauche. De surcroît, l’intimée soutient qu’il n’est pas établi que l’intervention chirurgicale dont le recourant demande la prise en charge soit de nature à améliorer sa capacité de travail.</w:t>
      </w:r>
    </w:p>
    <w:p>
      <w:r>
        <w:rPr>
          <w:b/>
        </w:rPr>
        <w:t>E. 9.1</w:t>
      </w:r>
    </w:p>
    <w:p>
      <w:r>
        <w:t>Il convient de rappeler que par décision du 18 avril 1996, Helsana a mis un terme à ses prestations, au 30 avril 1996, au motif que l’état de santé était stabilisé.</w:t>
      </w:r>
    </w:p>
    <w:p>
      <w:r>
        <w:rPr>
          <w:b/>
        </w:rPr>
        <w:t>E. 9.2</w:t>
      </w:r>
    </w:p>
    <w:p>
      <w:r>
        <w:t>Dans sa demande du 26 mars 2020, Helsana a requis de son médecin-conseil qu’il examine si la maladie de Dupruytren, diagnostiquée par le médecin traitant de l’assuré, le Dr F______, selon son rapport médical du 18 juillet 2019, était d’origine purement génétique, soit dégénérative, et s’il était exact que l’accident de 1993 n’avait pas influencé, ni provoqué le développement de cette maladie et que cette dernière se serait très probablement développée même sans l’accident en question. Le médecin-conseil de l’intimée a répondu, par rapport médical du 26 mars 2020, en confirmant que la maladie de Dupuytren était exclusivement d’origine génétique et donc purement dégénérative, et s’était aggravée avec le temps, dans le cas du recourant. Il a précisé qu’un traumatisme comme celui découlant de l’accident de 1993 n’était pas connu pour provoquer cette maladie ; c’était la répétition de microtraumatismes, soit les travaux à main fermée, qui avait provoqué des micros-lésions susceptibles d’aggraver une maladie génétique déjà présente. Selon le Dr G______, la preuve que l’accident n’avait pas aggravé de manière déterminante cette pathologie résidait dans le fait qu’elle n’était mentionnée pour la première fois que dans un rapport médical datant de 2019, soit 26 ans après l’accident.</w:t>
      </w:r>
    </w:p>
    <w:p>
      <w:r>
        <w:rPr>
          <w:b/>
        </w:rPr>
        <w:t>E. 9.3</w:t>
      </w:r>
    </w:p>
    <w:p>
      <w:r>
        <w:t>S’agissant de l’avis des médecins traitants de l’assuré, il s’est exprimé comme suit :</w:t>
      </w:r>
    </w:p>
    <w:p>
      <w:r>
        <w:t>A/2808/2022 - 11/13 - Le docteur H______, spécialiste en chirurgie traumato-orthopédique et en chirurgie réparatrice de l’hôpital de La Tour Hassan à Rabat (Maroc), a certifié dans une appréciation du 19 novembre 2015 qu’il avait vu l’assuré le même jour et qu’il avait constaté que ce dernier présentait les mêmes séquelles et la même gêne fonctionnelle de la main gauche, que celles qu’il avait décrites dans son rapport du 29 juillet 1997. Le Dr E______ a déclaré, dans son appréciation médicale du 18 mars 2009, que l’assuré présentait une raideur importante du quatrième et cinquième rayon gauche, avec des douleurs météorologiques de l’ensemble de la main gauche ; il indiquait qu’une éventuelle greffe tendineuse du fléchisseur pouvait être réalisée à l’étranger. Dans un deuxième rapport médical, daté du 27 mai 2009, le même médecin indiquait qu’une intervention pouvait être nécessaire sous la forme d’une arthrodèse de la quatrième métacarpophalangienne mais qu’en considérant le secteur de mobilité active du 4ème doigt, « il est évident que nous n’obtiendrons pas d’amélioration sur le plan fonctionnel malgré cette intervention ». Il était encore ajouté « quoi qu’il en soit, avec ou sans intervention, ce patient ne pourra en aucun cas effectuer un travail manuel ». Dans son rapport médical du 18 juillet 2019, le Dr F______ a indiqué que l’assuré avait développé une importante fibrose palmaire sur le 4ème doigt, due à la maladie de Dupruyten avec une évolution progressive. Enfin, la Dresse D______ des HUG a confirmé, dans son rapport médical du 25 juillet 2022, qu’elle pensait qu’un travail manuel n’était pas envisageable avec cette main gauche, même après l’intervention envisagée, qui lui permettrait une meilleure préhension des gros objets uniquement, avec possiblement un peu de récupération de la force ; elle considérait que l’intervention chirurgicale envisagée aurait pour but principal, surtout de soulager les douleurs de l’assuré en rapport avec l’arthrose du quatrième rayon et permettrait la prise d’objets de taille modérée, grâce à la récupération d’un enroulement de ce même rayon. Toutefois, en ce qui concernait le plan professionnel, cette amélioration fonctionnelle était relativement modérée et le médecin ne pensait pas qu’il y ait effectivement une amélioration suffisante permettant à l’assuré de retrouver son ancienne activité professionnelle.</w:t>
      </w:r>
    </w:p>
    <w:p>
      <w:r>
        <w:rPr>
          <w:b/>
        </w:rPr>
        <w:t>E. 9.4</w:t>
      </w:r>
    </w:p>
    <w:p>
      <w:r>
        <w:t>Compte tenu de ce qui précède, la chambre de céans considère, au vu de la valeur probante de l’appréciation médicale rendue par le médecin-conseil de l’intimée, qu’il n’est pas établi, au degré de la vraisemblance prépondérante, qu’il existait un lien de causalité naturelle et adéquat entre les troubles de sa main gauche et l’accident de 1993, ce d’autant moins que la découverte de la présence d’une maladie génétique dégénérative est de nature, comme l’ont souligné le médecin-conseil de l’intimée et le médecin espagnol, à expliquer les troubles actuels de la main gauche.</w:t>
      </w:r>
    </w:p>
    <w:p>
      <w:r>
        <w:t>A/2808/2022 - 12/13 - De surcroît, et cet avis est partagé aussi bien par le médecin-conseil de l’intimée que par la Dresse D______ et le Dr E______, l’intervention chirurgicale dont le recourant demande la prise en charge par l’intimée n’est pas de nature à améliorer sa capacité de travail. Certes, le recourant mentionne que la Dresse D______ ne s’est prononcée que sur l’activité habituelle du recourant et non pas sur une activité adaptée, il n’est néanmoins pas nécessaire d’instruire davantage cette question dès lors que le lien de causalité entre les troubles de la santé et l’accident de 1993 n’est, de toute façon, pas établi.</w:t>
      </w:r>
    </w:p>
    <w:p>
      <w:r>
        <w:rPr>
          <w:b/>
        </w:rPr>
        <w:t>E. 10</w:t>
      </w:r>
    </w:p>
    <w:p>
      <w:r>
        <w:t>Il résulte de ce qui précède que la décision de l’intimée est bien fondée et que la chambre de céans n’a d’autre choix que de rejeter le recours.</w:t>
      </w:r>
    </w:p>
    <w:p>
      <w:r>
        <w:rPr>
          <w:b/>
        </w:rPr>
        <w:t>E. 11</w:t>
      </w:r>
    </w:p>
    <w:p>
      <w:r>
        <w:t>Pour le surplus, la procédure est gratuite (art. 61 let. a LPGA).</w:t>
      </w:r>
    </w:p>
    <w:p>
      <w:r>
        <w:t>A/2808/2022 - 13/13 -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